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964"/>
        <w:spacing w:line="48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highlight w:val="none"/>
        </w:rPr>
        <w:t xml:space="preserve">江苏省新海高级中学高品质高中教学配套</w:t>
      </w:r>
      <w:r>
        <w:rPr>
          <w:rFonts w:hint="eastAsia" w:ascii="Arial" w:hAnsi="Arial" w:eastAsia="宋体" w:cs="Times New Roman"/>
          <w:b/>
          <w:bCs/>
          <w:color w:val="000000"/>
          <w:sz w:val="32"/>
          <w:szCs w:val="24"/>
          <w:highlight w:val="none"/>
        </w:rPr>
        <w:t xml:space="preserve">设施中央空调项目</w:t>
      </w:r>
      <w:r>
        <w:rPr>
          <w:rFonts w:hint="eastAsia" w:ascii="Arial" w:hAnsi="Arial" w:eastAsia="宋体" w:cs="Times New Roman"/>
          <w:b/>
          <w:bCs/>
          <w:color w:val="000000"/>
          <w:sz w:val="32"/>
          <w:szCs w:val="24"/>
          <w:highlight w:val="none"/>
          <w:lang w:eastAsia="zh-CN"/>
        </w:rPr>
        <w:t xml:space="preserve">（</w:t>
      </w:r>
      <w:r>
        <w:rPr>
          <w:rFonts w:hint="eastAsia" w:ascii="Arial" w:hAnsi="Arial" w:eastAsia="宋体" w:cs="Times New Roman"/>
          <w:b/>
          <w:bCs/>
          <w:color w:val="000000"/>
          <w:sz w:val="32"/>
          <w:szCs w:val="24"/>
          <w:highlight w:val="none"/>
          <w:lang w:val="en-US" w:eastAsia="zh-CN"/>
        </w:rPr>
        <w:t xml:space="preserve">非专门面向中小企业</w:t>
      </w:r>
      <w:r>
        <w:rPr>
          <w:rFonts w:hint="eastAsia" w:ascii="Arial" w:hAnsi="Arial" w:eastAsia="宋体" w:cs="Times New Roman"/>
          <w:b/>
          <w:bCs/>
          <w:color w:val="000000"/>
          <w:sz w:val="32"/>
          <w:szCs w:val="24"/>
          <w:highlight w:val="none"/>
          <w:lang w:eastAsia="zh-CN"/>
        </w:rPr>
        <w:t xml:space="preserve">）</w:t>
      </w:r>
      <w:r>
        <w:rPr>
          <w:rFonts w:hint="eastAsia" w:ascii="Arial" w:hAnsi="Arial" w:eastAsia="宋体" w:cs="Times New Roman"/>
          <w:b/>
          <w:bCs/>
          <w:color w:val="000000"/>
          <w:sz w:val="32"/>
          <w:szCs w:val="24"/>
          <w:highlight w:val="none"/>
        </w:rPr>
      </w:r>
      <w:r/>
    </w:p>
    <w:p>
      <w:pPr>
        <w:ind w:firstLine="964"/>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项目编号：JSZC-320700-JZCG-G2026-0024</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04</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1019"/>
        <w:rPr>
          <w:b w:val="0"/>
        </w:rPr>
      </w:pPr>
      <w:r>
        <w:rPr>
          <w:rFonts w:hint="eastAsia"/>
          <w:b w:val="0"/>
        </w:rPr>
        <w:t xml:space="preserve">目  录</w:t>
      </w:r>
      <w:r/>
    </w:p>
    <w:p>
      <w:pPr>
        <w:pStyle w:val="1019"/>
      </w:pPr>
      <w:r/>
      <w:r/>
    </w:p>
    <w:p>
      <w:pPr>
        <w:pStyle w:val="1019"/>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1019"/>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1</w:t>
      </w:r>
      <w:r>
        <w:rPr>
          <w:b w:val="0"/>
          <w:sz w:val="32"/>
        </w:rPr>
        <w:fldChar w:fldCharType="end"/>
      </w:r>
      <w:r/>
    </w:p>
    <w:p>
      <w:pPr>
        <w:pStyle w:val="1019"/>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21</w:t>
      </w:r>
      <w:r>
        <w:rPr>
          <w:b w:val="0"/>
          <w:sz w:val="32"/>
        </w:rPr>
        <w:fldChar w:fldCharType="end"/>
      </w:r>
      <w:r/>
    </w:p>
    <w:p>
      <w:pPr>
        <w:pStyle w:val="1019"/>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21</w:t>
      </w:r>
      <w:r>
        <w:rPr>
          <w:b w:val="0"/>
          <w:sz w:val="32"/>
        </w:rPr>
        <w:fldChar w:fldCharType="end"/>
      </w:r>
      <w:r/>
    </w:p>
    <w:p>
      <w:pPr>
        <w:pStyle w:val="1019"/>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58</w:t>
      </w:r>
      <w:r>
        <w:rPr>
          <w:b w:val="0"/>
          <w:sz w:val="32"/>
        </w:rPr>
        <w:fldChar w:fldCharType="end"/>
      </w:r>
      <w:r/>
    </w:p>
    <w:p>
      <w:pPr>
        <w:pStyle w:val="1019"/>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63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100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1007"/>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受江苏省新海高级中学的委托，连云港市公共资源交易中心就江苏省新海高级中学高品质高中教学配套设施中央空调项目</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非专门面向中小企业</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（项目编号JSZC-320700-JZCG-G2026-0024）项目进行公开招标采购，欢迎符合条件的供应商投标。</w:t>
      </w:r>
      <w:r/>
    </w:p>
    <w:tbl>
      <w:tblPr>
        <w:tblStyle w:val="10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项目概况</w:t>
            </w:r>
            <w:r/>
          </w:p>
          <w:p>
            <w:pPr>
              <w:spacing w:line="500" w:lineRule="exact"/>
              <w:rPr>
                <w:rFonts w:asciiTheme="minorEastAsia" w:hAnsiTheme="minorEastAsia"/>
                <w:sz w:val="24"/>
                <w:szCs w:val="24"/>
                <w:highlight w:val="none"/>
              </w:rPr>
            </w:pPr>
            <w:r>
              <w:rPr>
                <w:rFonts w:hint="eastAsia" w:asciiTheme="minorEastAsia" w:hAnsiTheme="minorEastAsia"/>
                <w:b/>
                <w:sz w:val="24"/>
                <w:szCs w:val="24"/>
                <w:highlight w:val="none"/>
                <w:u w:val="single"/>
              </w:rPr>
              <w:t xml:space="preserve">江苏省新海高级中学高品质高中教学配套设施中央空调项目</w:t>
            </w:r>
            <w:r>
              <w:rPr>
                <w:rFonts w:hint="eastAsia" w:asciiTheme="minorEastAsia" w:hAnsiTheme="minorEastAsia"/>
                <w:b/>
                <w:sz w:val="24"/>
                <w:szCs w:val="24"/>
                <w:highlight w:val="none"/>
                <w:u w:val="single"/>
                <w:lang w:eastAsia="zh-CN"/>
              </w:rPr>
              <w:t xml:space="preserve">（</w:t>
            </w:r>
            <w:r>
              <w:rPr>
                <w:rFonts w:hint="eastAsia" w:asciiTheme="minorEastAsia" w:hAnsiTheme="minorEastAsia"/>
                <w:b/>
                <w:sz w:val="24"/>
                <w:szCs w:val="24"/>
                <w:highlight w:val="none"/>
                <w:u w:val="single"/>
                <w:lang w:val="en-US" w:eastAsia="zh-CN"/>
              </w:rPr>
              <w:t xml:space="preserve">非专门面向中小企业</w:t>
            </w:r>
            <w:r>
              <w:rPr>
                <w:rFonts w:hint="eastAsia" w:asciiTheme="minorEastAsia" w:hAnsiTheme="minorEastAsia"/>
                <w:b/>
                <w:sz w:val="24"/>
                <w:szCs w:val="24"/>
                <w:highlight w:val="none"/>
                <w:u w:val="single"/>
                <w:lang w:eastAsia="zh-CN"/>
              </w:rPr>
              <w:t xml:space="preserve">）</w:t>
            </w:r>
            <w:r>
              <w:rPr>
                <w:rFonts w:hint="eastAsia" w:asciiTheme="minorEastAsia" w:hAnsiTheme="minorEastAsia"/>
                <w:sz w:val="24"/>
                <w:szCs w:val="24"/>
                <w:highlight w:val="none"/>
              </w:rPr>
              <w:t xml:space="preserve">招标项目的潜在投标人应在</w:t>
            </w:r>
            <w:r>
              <w:rPr>
                <w:rFonts w:hint="eastAsia" w:asciiTheme="minorEastAsia" w:hAnsiTheme="minorEastAsia"/>
                <w:b/>
                <w:sz w:val="24"/>
                <w:szCs w:val="24"/>
                <w:highlight w:val="none"/>
                <w:u w:val="single"/>
              </w:rPr>
              <w:t xml:space="preserve">江苏政府采购网</w:t>
            </w:r>
            <w:r>
              <w:rPr>
                <w:rFonts w:hint="eastAsia" w:asciiTheme="minorEastAsia" w:hAnsiTheme="minorEastAsia"/>
                <w:sz w:val="24"/>
                <w:szCs w:val="24"/>
                <w:highlight w:val="none"/>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5</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8</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09</w:t>
            </w:r>
            <w:r>
              <w:rPr>
                <w:rFonts w:hint="eastAsia" w:asciiTheme="minorEastAsia" w:hAnsiTheme="minorEastAsia"/>
                <w:b/>
                <w:sz w:val="24"/>
                <w:szCs w:val="24"/>
                <w:highlight w:val="none"/>
                <w:u w:val="single"/>
                <w:lang w:eastAsia="zh-CN"/>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w:t>
            </w:r>
            <w:r>
              <w:rPr>
                <w:rFonts w:hint="eastAsia" w:asciiTheme="minorEastAsia" w:hAnsiTheme="minorEastAsia"/>
                <w:b/>
                <w:sz w:val="24"/>
                <w:szCs w:val="24"/>
                <w:highlight w:val="none"/>
                <w:u w:val="single"/>
                <w:lang w:eastAsia="zh-CN"/>
              </w:rPr>
              <w:t xml:space="preserve">：</w:t>
            </w:r>
            <w:r>
              <w:rPr>
                <w:rFonts w:hint="eastAsia" w:asciiTheme="minorEastAsia" w:hAnsiTheme="minorEastAsia"/>
                <w:b/>
                <w:sz w:val="24"/>
                <w:szCs w:val="24"/>
                <w:highlight w:val="none"/>
                <w:u w:val="single"/>
              </w:rPr>
              <w:t xml:space="preserve">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p>
        </w:tc>
      </w:tr>
    </w:tbl>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项目编号：JSZC-320700-JZCG-G2026-0024</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项目名称：江苏省新海高级中学高品质高中教学配套设施中央空调项目</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rPr>
          <w:rFonts w:hint="eastAsia" w:asciiTheme="minorEastAsia" w:hAnsiTheme="minorEastAsia"/>
          <w:sz w:val="24"/>
          <w:szCs w:val="24"/>
          <w:lang w:eastAsia="zh-CN"/>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highlight w:val="none"/>
        </w:rPr>
      </w:pPr>
      <w:r>
        <w:rPr>
          <w:rFonts w:hint="eastAsia" w:asciiTheme="minorEastAsia" w:hAnsiTheme="minorEastAsia"/>
          <w:sz w:val="24"/>
          <w:szCs w:val="24"/>
        </w:rPr>
        <w:t xml:space="preserve">预算金</w:t>
      </w:r>
      <w:r>
        <w:rPr>
          <w:rFonts w:hint="eastAsia" w:asciiTheme="minorEastAsia" w:hAnsiTheme="minorEastAsia"/>
          <w:sz w:val="24"/>
          <w:szCs w:val="24"/>
          <w:highlight w:val="none"/>
        </w:rPr>
        <w:t xml:space="preserve">额：人民币</w:t>
      </w:r>
      <w:r>
        <w:rPr>
          <w:rFonts w:hint="eastAsia" w:asciiTheme="minorEastAsia" w:hAnsiTheme="minorEastAsia"/>
          <w:sz w:val="24"/>
          <w:szCs w:val="24"/>
          <w:highlight w:val="none"/>
          <w:lang w:val="en-US" w:eastAsia="zh-CN"/>
        </w:rPr>
        <w:t xml:space="preserve">100</w:t>
      </w:r>
      <w:r>
        <w:rPr>
          <w:rFonts w:hint="eastAsia" w:asciiTheme="minorEastAsia" w:hAnsiTheme="minorEastAsia"/>
          <w:sz w:val="24"/>
          <w:szCs w:val="24"/>
          <w:highlight w:val="none"/>
        </w:rPr>
        <w:t xml:space="preserve">万元</w:t>
      </w:r>
      <w:bookmarkStart w:id="25" w:name="_GoBack"/>
      <w:r/>
      <w:bookmarkEnd w:id="25"/>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需求：江苏省新海高级中学高品质高中教学配套设施中央空调项目，具体内容包括但不限于原空调配电系统的拆除、更换、清理等；直流变频式多联机变频中央空调系统、独立新风机组等制造、运输（含装卸）、仓储、系统布置方案、安装、调试、验收等；具体要求详见项目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lang w:val="en-US" w:eastAsia="zh-CN"/>
        </w:rPr>
        <w:t xml:space="preserve">自</w:t>
      </w:r>
      <w:r>
        <w:rPr>
          <w:rFonts w:hint="eastAsia" w:asciiTheme="minorEastAsia" w:hAnsiTheme="minorEastAsia"/>
          <w:sz w:val="24"/>
          <w:szCs w:val="24"/>
          <w:highlight w:val="none"/>
        </w:rPr>
        <w:t xml:space="preserve">合同签订之日起</w:t>
      </w:r>
      <w:r>
        <w:rPr>
          <w:rFonts w:hint="eastAsia" w:asciiTheme="minorEastAsia" w:hAnsiTheme="minorEastAsia"/>
          <w:sz w:val="24"/>
          <w:szCs w:val="24"/>
          <w:highlight w:val="none"/>
          <w:lang w:val="en-US" w:eastAsia="zh-CN"/>
        </w:rPr>
        <w:t xml:space="preserve">30</w:t>
      </w:r>
      <w:r>
        <w:rPr>
          <w:rFonts w:hint="eastAsia" w:asciiTheme="minorEastAsia" w:hAnsiTheme="minorEastAsia"/>
          <w:sz w:val="24"/>
          <w:szCs w:val="24"/>
          <w:highlight w:val="none"/>
        </w:rPr>
        <w:t xml:space="preserve">天内完成供货及安装调试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24</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1008"/>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日9</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00</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日9</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00</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1012"/>
      </w:pPr>
      <w:r>
        <w:rPr>
          <w:rFonts w:hint="eastAsia"/>
        </w:rPr>
        <w:t xml:space="preserve">http://www.ccgp-jiangsu.gov.cn/jiangsu/zlxz/ee/ee3a4bc5a3454aa2b0d9312230633ce9.html</w:t>
      </w:r>
      <w:r/>
    </w:p>
    <w:p>
      <w:pPr>
        <w:ind w:firstLine="480"/>
        <w:spacing w:line="500" w:lineRule="exact"/>
        <w:rPr>
          <w:rFonts w:hint="eastAsia" w:cs="Times New Roman"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1008"/>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名称：江苏省新海高级中学</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地址：连云港市苍梧路58号</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联系方式：0518-85893106</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spacing w:line="500" w:lineRule="exact"/>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程杨</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0518-8</w:t>
      </w:r>
      <w:r>
        <w:rPr>
          <w:rFonts w:hint="eastAsia" w:cs="Times New Roman" w:asciiTheme="minorEastAsia" w:hAnsiTheme="minorEastAsia"/>
          <w:sz w:val="24"/>
          <w:szCs w:val="24"/>
          <w:highlight w:val="none"/>
          <w:lang w:val="en-US" w:eastAsia="zh-CN"/>
        </w:rPr>
        <w:t xml:space="preserve">2256581</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项目联系人：闫老师</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话：0518-85893106</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heme="minorEastAsia" w:hAnsiTheme="minorEastAsia"/>
          <w:sz w:val="24"/>
          <w:szCs w:val="24"/>
        </w:rPr>
      </w:r>
      <w:r/>
    </w:p>
    <w:p>
      <w:pPr>
        <w:pStyle w:val="1007"/>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jc w:val="both"/>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100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0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1007"/>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101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1011"/>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1007"/>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w:t>
      </w:r>
      <w:r>
        <w:rPr>
          <w:rFonts w:hint="eastAsia"/>
          <w:b/>
          <w:sz w:val="24"/>
          <w:szCs w:val="24"/>
          <w:u w:val="single"/>
          <w:lang w:val="en-US" w:eastAsia="zh-CN"/>
        </w:rPr>
        <w:t xml:space="preserve">工业</w:t>
      </w:r>
      <w:r>
        <w:rPr>
          <w:rFonts w:hint="eastAsia"/>
          <w:b/>
          <w:sz w:val="24"/>
          <w:szCs w:val="24"/>
          <w:u w:val="single"/>
        </w:rPr>
        <w:t xml:space="preserve">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left"/>
        <w:spacing w:line="500" w:lineRule="exact"/>
        <w:rPr>
          <w:rFonts w:ascii="MS Mincho" w:hAnsi="Calibri" w:eastAsia="宋体" w:cs="Times New Roman"/>
          <w:color w:val="000000"/>
          <w:szCs w:val="24"/>
          <w:highlight w:val="none"/>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highlight w:val="none"/>
          <w:u w:val="single"/>
        </w:rPr>
        <w:t xml:space="preserve"> 14HP直流变频风管式空调机组 </w:t>
      </w:r>
      <w:r>
        <w:rPr>
          <w:rFonts w:hint="eastAsia" w:asciiTheme="minorEastAsia" w:hAnsiTheme="minorEastAsia"/>
          <w:b/>
          <w:sz w:val="24"/>
          <w:szCs w:val="24"/>
          <w:highlight w:val="none"/>
        </w:rPr>
        <w:t xml:space="preserve">。</w:t>
      </w:r>
      <w:r/>
    </w:p>
    <w:p>
      <w:pPr>
        <w:pStyle w:val="1034"/>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4.特别提醒：政府采购中实施本国产品标准及相关政策</w:t>
      </w:r>
      <w:r/>
    </w:p>
    <w:p>
      <w:pPr>
        <w:pStyle w:val="1034"/>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4.1本项目对采购本国产品给予政策支持，具体内容见招标文件“第二章 九、政府采购政策功能”。</w:t>
      </w:r>
      <w:r/>
    </w:p>
    <w:p>
      <w:pPr>
        <w:pStyle w:val="1034"/>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4"/>
        <w:ind w:firstLine="470"/>
        <w:rPr>
          <w:rFonts w:ascii="MS Mincho" w:hAnsi="Calibri" w:eastAsia="宋体" w:cs="Times New Roman"/>
          <w:color w:val="000000"/>
          <w:szCs w:val="24"/>
          <w:highlight w:val="none"/>
        </w:rPr>
      </w:pPr>
      <w:r>
        <w:rPr>
          <w:rFonts w:hint="eastAsia" w:ascii="宋体" w:hAnsi="宋体" w:eastAsia="宋体" w:cs="宋体"/>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keepLines w:val="0"/>
        <w:keepNext w:val="0"/>
        <w:pageBreakBefore w:val="0"/>
        <w:spacing w:line="500" w:lineRule="exact"/>
        <w:widowControl w:val="off"/>
        <w:rPr>
          <w:rFonts w:hint="eastAsia" w:ascii="Times New Roman" w:hAnsi="Times New Roman" w:eastAsia="宋体" w:cs="Times New Roman"/>
          <w:b/>
          <w:sz w:val="28"/>
          <w:szCs w:val="28"/>
          <w:highlight w:val="none"/>
        </w:rPr>
      </w:pPr>
      <w:r>
        <w:rPr>
          <w:rFonts w:hint="eastAsia" w:ascii="宋体" w:hAnsi="宋体" w:eastAsia="宋体" w:cs="Times New Roman"/>
          <w:color w:val="000000"/>
          <w:sz w:val="24"/>
          <w:szCs w:val="24"/>
          <w:highlight w:val="none"/>
        </w:rPr>
        <w:t xml:space="preserve">高品质高中创建已完成，为保障后续相关教学配套设施正常运转、维护和更新，拟对教学配套设施项目进行升级改造。教学配套设施项目为创新大楼报告厅，拟对创新大楼报告厅内部安装中央空调。</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二、货物采购清单</w:t>
      </w:r>
      <w:r>
        <w:rPr>
          <w:rFonts w:hint="eastAsia" w:ascii="Times New Roman" w:hAnsi="Times New Roman" w:eastAsia="宋体" w:cs="Times New Roman"/>
          <w:b/>
          <w:sz w:val="28"/>
          <w:szCs w:val="28"/>
          <w:lang w:val="en-US" w:eastAsia="zh-CN"/>
        </w:rPr>
        <w:t xml:space="preserve">及规格</w:t>
      </w:r>
      <w:r>
        <w:rPr>
          <w:rFonts w:hint="eastAsia" w:ascii="Times New Roman" w:hAnsi="Times New Roman" w:eastAsia="宋体" w:cs="Times New Roman"/>
          <w:b/>
          <w:sz w:val="28"/>
          <w:szCs w:val="28"/>
        </w:rPr>
        <w:t xml:space="preserve">参数</w:t>
      </w:r>
      <w:r/>
    </w:p>
    <w:tbl>
      <w:tblPr>
        <w:tblStyle w:val="1011"/>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6"/>
        <w:gridCol w:w="4069"/>
        <w:gridCol w:w="654"/>
        <w:gridCol w:w="1100"/>
        <w:gridCol w:w="1148"/>
      </w:tblGrid>
      <w:tr>
        <w:trPr>
          <w:jc w:val="center"/>
          <w:trHeight w:val="1134"/>
        </w:trPr>
        <w:tc>
          <w:tcPr>
            <w:shd w:val="clear" w:color="auto" w:fill="auto"/>
            <w:tcW w:w="818" w:type="dxa"/>
            <w:vAlign w:val="center"/>
            <w:textDirection w:val="lrTb"/>
            <w:noWrap w:val="false"/>
          </w:tcPr>
          <w:p>
            <w:pPr>
              <w:jc w:val="center"/>
              <w:keepLines w:val="0"/>
              <w:keepNext w:val="0"/>
              <w:pageBreakBefore w:val="0"/>
              <w:spacing w:line="240" w:lineRule="auto"/>
              <w:widowControl/>
              <w:rPr>
                <w:rFonts w:ascii="宋体" w:hAnsi="宋体" w:eastAsia="宋体" w:cs="Helvetica"/>
                <w:b/>
                <w:sz w:val="24"/>
                <w:szCs w:val="24"/>
              </w:rPr>
            </w:pPr>
            <w:r/>
            <w:bookmarkStart w:id="8" w:name="_Toc139966432"/>
            <w:r/>
            <w:bookmarkStart w:id="9" w:name="_Toc139967216"/>
            <w:r>
              <w:rPr>
                <w:rFonts w:hint="eastAsia" w:ascii="宋体" w:hAnsi="宋体" w:eastAsia="宋体" w:cs="Helvetica"/>
                <w:b/>
                <w:sz w:val="24"/>
                <w:szCs w:val="24"/>
              </w:rPr>
              <w:t xml:space="preserve">序号</w:t>
            </w:r>
            <w:r/>
          </w:p>
        </w:tc>
        <w:tc>
          <w:tcPr>
            <w:shd w:val="clear" w:color="auto" w:fill="auto"/>
            <w:tcW w:w="1666" w:type="dxa"/>
            <w:vAlign w:val="center"/>
            <w:textDirection w:val="lrTb"/>
            <w:noWrap w:val="false"/>
          </w:tcPr>
          <w:p>
            <w:pPr>
              <w:jc w:val="center"/>
              <w:keepLines w:val="0"/>
              <w:keepNext w:val="0"/>
              <w:pageBreakBefore w:val="0"/>
              <w:spacing w:line="24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4069"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Times New Roman"/>
                <w:b/>
                <w:sz w:val="24"/>
                <w:szCs w:val="24"/>
              </w:rPr>
            </w:pPr>
            <w:r>
              <w:rPr>
                <w:rFonts w:hint="eastAsia" w:ascii="宋体" w:hAnsi="宋体" w:eastAsia="宋体" w:cs="Helvetica"/>
                <w:b/>
                <w:sz w:val="24"/>
                <w:szCs w:val="24"/>
              </w:rPr>
              <w:t xml:space="preserve">技术参数及功能指标</w:t>
            </w:r>
            <w:r/>
          </w:p>
        </w:tc>
        <w:tc>
          <w:tcPr>
            <w:shd w:val="clear" w:color="auto" w:fill="auto"/>
            <w:tcW w:w="654" w:type="dxa"/>
            <w:vAlign w:val="center"/>
            <w:textDirection w:val="lrTb"/>
            <w:noWrap w:val="false"/>
          </w:tcPr>
          <w:p>
            <w:pPr>
              <w:jc w:val="center"/>
              <w:keepLines w:val="0"/>
              <w:keepNext w:val="0"/>
              <w:pageBreakBefore w:val="0"/>
              <w:spacing w:line="24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1100" w:type="dxa"/>
            <w:vAlign w:val="center"/>
            <w:textDirection w:val="lrTb"/>
            <w:noWrap w:val="false"/>
          </w:tcPr>
          <w:p>
            <w:pPr>
              <w:jc w:val="center"/>
              <w:keepLines w:val="0"/>
              <w:keepNext w:val="0"/>
              <w:pageBreakBefore w:val="0"/>
              <w:spacing w:line="24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148" w:type="dxa"/>
            <w:textDirection w:val="lrTb"/>
            <w:noWrap w:val="false"/>
          </w:tcPr>
          <w:p>
            <w:pPr>
              <w:jc w:val="center"/>
              <w:keepLines w:val="0"/>
              <w:keepNext w:val="0"/>
              <w:pageBreakBefore w:val="0"/>
              <w:spacing w:line="24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Height w:val="625"/>
        </w:trPr>
        <w:tc>
          <w:tcPr>
            <w:gridSpan w:val="6"/>
            <w:shd w:val="clear" w:color="auto" w:fill="auto"/>
            <w:tcW w:w="9455" w:type="dxa"/>
            <w:vAlign w:val="center"/>
            <w:textDirection w:val="lrTb"/>
            <w:noWrap w:val="false"/>
          </w:tcPr>
          <w:p>
            <w:pPr>
              <w:jc w:val="both"/>
              <w:spacing w:line="360" w:lineRule="auto"/>
              <w:widowControl/>
              <w:rPr>
                <w:rFonts w:hint="eastAsia" w:ascii="Times New Roman" w:hAnsi="Times New Roman" w:eastAsia="宋体" w:cs="Times New Roman"/>
                <w:b/>
                <w:sz w:val="24"/>
                <w:szCs w:val="24"/>
              </w:rPr>
            </w:pPr>
            <w:r>
              <w:rPr>
                <w:rFonts w:hint="eastAsia" w:ascii="宋体" w:hAnsi="宋体" w:eastAsia="宋体" w:cs="Helvetica"/>
                <w:b/>
                <w:sz w:val="24"/>
                <w:szCs w:val="24"/>
                <w:lang w:eastAsia="zh-CN"/>
              </w:rPr>
              <w:t xml:space="preserve">（</w:t>
            </w:r>
            <w:r>
              <w:rPr>
                <w:rFonts w:hint="eastAsia" w:ascii="宋体" w:hAnsi="宋体" w:eastAsia="宋体" w:cs="Helvetica"/>
                <w:b/>
                <w:sz w:val="24"/>
                <w:szCs w:val="24"/>
                <w:lang w:val="en-US" w:eastAsia="zh-CN"/>
              </w:rPr>
              <w:t xml:space="preserve">一）</w:t>
            </w:r>
            <w:r>
              <w:rPr>
                <w:rFonts w:hint="eastAsia" w:ascii="宋体" w:hAnsi="宋体" w:eastAsia="宋体" w:cs="Helvetica"/>
                <w:b/>
                <w:sz w:val="24"/>
                <w:szCs w:val="24"/>
              </w:rPr>
              <w:t xml:space="preserve">通风空调系统</w:t>
            </w:r>
            <w:r/>
          </w:p>
        </w:tc>
      </w:tr>
      <w:tr>
        <w:trPr>
          <w:jc w:val="center"/>
        </w:trPr>
        <w:tc>
          <w:tcPr>
            <w:shd w:val="clear" w:color="auto" w:fill="auto"/>
            <w:tcW w:w="81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多联式中央空调室外机组SWJ-140</w:t>
            </w:r>
            <w:r/>
          </w:p>
        </w:tc>
        <w:tc>
          <w:tcPr>
            <w:shd w:val="clear" w:color="auto" w:fill="auto"/>
            <w:tcW w:w="4069"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制冷量(kW)≥14.0；</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制热量(kW)≥16.0；</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噪音值最高(dB(A)) ≤54，制冷输入功率(KW)≤3.8，制热输入功率(KW)≤3.9</w:t>
            </w:r>
            <w:r/>
          </w:p>
          <w:p>
            <w:pPr>
              <w:numPr>
                <w:ilvl w:val="0"/>
                <w:numId w:val="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安装形式：落地式</w:t>
            </w:r>
            <w:r/>
          </w:p>
          <w:p>
            <w:pPr>
              <w:numPr>
                <w:ilvl w:val="0"/>
                <w:numId w:val="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多联式中央空调室外机组SWJ-504</w:t>
            </w:r>
            <w:r/>
          </w:p>
        </w:tc>
        <w:tc>
          <w:tcPr>
            <w:shd w:val="clear" w:color="auto" w:fill="auto"/>
            <w:tcW w:w="4069"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制冷量(kW)≥50.4；</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制热量(kW)≥56.0；</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噪音值最高(dB(A)) ≤61，制冷输入功率(KW)≤13.49，制热输入功率(KW)≤13.5</w:t>
            </w:r>
            <w:r/>
          </w:p>
          <w:p>
            <w:pPr>
              <w:numPr>
                <w:ilvl w:val="0"/>
                <w:numId w:val="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安装形式：落地式</w:t>
            </w:r>
            <w:r/>
          </w:p>
          <w:p>
            <w:pPr>
              <w:numPr>
                <w:ilvl w:val="0"/>
                <w:numId w:val="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3</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多联式中央空调室外机组SWJ-560</w:t>
            </w:r>
            <w:r/>
          </w:p>
        </w:tc>
        <w:tc>
          <w:tcPr>
            <w:shd w:val="clear" w:color="auto" w:fill="auto"/>
            <w:tcW w:w="4069"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制冷量(kW)≥56.0；</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制热量(kW)≥63.0；</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噪音值最高(dB(A)) ≤62，制冷输入功率(KW)≤15.6，制热输入功率(KW)≤14.2</w:t>
            </w:r>
            <w:r/>
          </w:p>
          <w:p>
            <w:pPr>
              <w:numPr>
                <w:ilvl w:val="0"/>
                <w:numId w:val="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安装形式：落地式</w:t>
            </w:r>
            <w:r/>
          </w:p>
          <w:p>
            <w:pPr>
              <w:numPr>
                <w:ilvl w:val="0"/>
                <w:numId w:val="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4</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多联式中央空调室外机组SWJ-680</w:t>
            </w:r>
            <w:r/>
          </w:p>
        </w:tc>
        <w:tc>
          <w:tcPr>
            <w:shd w:val="clear" w:color="auto" w:fill="auto"/>
            <w:tcW w:w="4069" w:type="dxa"/>
            <w:vAlign w:val="center"/>
            <w:textDirection w:val="lrTb"/>
            <w:noWrap w:val="false"/>
          </w:tcPr>
          <w:p>
            <w:pPr>
              <w:numPr>
                <w:ilvl w:val="0"/>
                <w:numId w:val="1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制冷量(kW)≥68.0；</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制热量(kW)≥75.0；</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噪音值最高(dB(A)) ≤64，制冷输入功率(KW)≤19.6，制热输入功率(KW)≤17.4</w:t>
            </w:r>
            <w:r/>
          </w:p>
          <w:p>
            <w:pPr>
              <w:numPr>
                <w:ilvl w:val="0"/>
                <w:numId w:val="1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安装形式：落地式</w:t>
            </w:r>
            <w:r/>
          </w:p>
          <w:p>
            <w:pPr>
              <w:numPr>
                <w:ilvl w:val="0"/>
                <w:numId w:val="1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薄型风管天井式室内机SNJ-28</w:t>
            </w:r>
            <w:r/>
          </w:p>
        </w:tc>
        <w:tc>
          <w:tcPr>
            <w:shd w:val="clear" w:color="auto" w:fill="auto"/>
            <w:tcW w:w="4069" w:type="dxa"/>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规格：额定风量≥450m³/h，</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制冷量≥2.8KW；</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制热量≥3.2KW；</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带后回风箱</w:t>
            </w:r>
            <w:r/>
          </w:p>
          <w:p>
            <w:pPr>
              <w:numPr>
                <w:ilvl w:val="0"/>
                <w:numId w:val="1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p>
            <w:pPr>
              <w:numPr>
                <w:ilvl w:val="0"/>
                <w:numId w:val="1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包含检查接线</w:t>
            </w:r>
            <w:r/>
          </w:p>
          <w:p>
            <w:pPr>
              <w:numPr>
                <w:ilvl w:val="0"/>
                <w:numId w:val="1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自带冷凝水提升泵</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薄型风管天井式室内机SNJ-71</w:t>
            </w:r>
            <w:r/>
          </w:p>
        </w:tc>
        <w:tc>
          <w:tcPr>
            <w:shd w:val="clear" w:color="auto" w:fill="auto"/>
            <w:tcW w:w="4069"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规格：额定风量≥1145m³/h；</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制冷量≥7.1KW；</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制热量≥8.0KW；</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带后回风箱</w:t>
            </w:r>
            <w:r/>
          </w:p>
          <w:p>
            <w:pPr>
              <w:numPr>
                <w:ilvl w:val="0"/>
                <w:numId w:val="1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p>
            <w:pPr>
              <w:numPr>
                <w:ilvl w:val="0"/>
                <w:numId w:val="1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包含检查接线 </w:t>
            </w:r>
            <w:r/>
          </w:p>
          <w:p>
            <w:pPr>
              <w:numPr>
                <w:ilvl w:val="0"/>
                <w:numId w:val="1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自带冷凝水提升泵</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薄型风管天井式室内机SNJ-100</w:t>
            </w:r>
            <w:r/>
          </w:p>
        </w:tc>
        <w:tc>
          <w:tcPr>
            <w:shd w:val="clear" w:color="auto" w:fill="auto"/>
            <w:tcW w:w="4069"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规格：额定风量≥1700m³/h；</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制冷量≥10.0KW；</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制热量≥11.2KW；</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带后回风箱</w:t>
            </w:r>
            <w:r/>
          </w:p>
          <w:p>
            <w:pPr>
              <w:numPr>
                <w:ilvl w:val="0"/>
                <w:numId w:val="1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p>
            <w:pPr>
              <w:numPr>
                <w:ilvl w:val="0"/>
                <w:numId w:val="1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包含检查接线</w:t>
            </w:r>
            <w:r/>
          </w:p>
          <w:p>
            <w:pPr>
              <w:numPr>
                <w:ilvl w:val="0"/>
                <w:numId w:val="1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自带冷凝水提升泵</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环形出风嵌入式室内机SNJ-80</w:t>
            </w:r>
            <w:r/>
          </w:p>
        </w:tc>
        <w:tc>
          <w:tcPr>
            <w:shd w:val="clear" w:color="auto" w:fill="auto"/>
            <w:tcW w:w="4069"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规格：额定风量≥1330m³/h；</w:t>
            </w:r>
            <w:r/>
          </w:p>
          <w:p>
            <w:pPr>
              <w:numPr>
                <w:ilvl w:val="0"/>
                <w:numId w:val="0"/>
              </w:numPr>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highlight w:val="none"/>
                <w:u w:val="none"/>
                <w:lang w:val="en-US" w:eastAsia="zh-CN" w:bidi="ar"/>
              </w:rPr>
              <w:t xml:space="preserve">制冷量≥8.0KW；</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highlight w:val="none"/>
                <w:u w:val="none"/>
                <w:lang w:val="en-US" w:eastAsia="zh-CN" w:bidi="ar"/>
              </w:rPr>
              <w:t xml:space="preserve">制热量≥9.0KW</w:t>
            </w:r>
            <w:r>
              <w:rPr>
                <w:rFonts w:hint="eastAsia" w:ascii="宋体" w:hAnsi="宋体" w:eastAsia="宋体" w:cs="宋体"/>
                <w:i w:val="0"/>
                <w:iCs w:val="0"/>
                <w:color w:val="000000"/>
                <w:sz w:val="24"/>
                <w:szCs w:val="24"/>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带后回风箱</w:t>
            </w:r>
            <w:r/>
          </w:p>
          <w:p>
            <w:pPr>
              <w:numPr>
                <w:ilvl w:val="0"/>
                <w:numId w:val="14"/>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安装形式：吊顶式</w:t>
            </w:r>
            <w:r/>
          </w:p>
          <w:p>
            <w:pPr>
              <w:numPr>
                <w:ilvl w:val="0"/>
                <w:numId w:val="14"/>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隔振垫（器）、支架形式、材质：含减震措施</w:t>
            </w:r>
            <w:r/>
          </w:p>
          <w:p>
            <w:pPr>
              <w:numPr>
                <w:ilvl w:val="0"/>
                <w:numId w:val="14"/>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包含检查接线 </w:t>
            </w:r>
            <w:r/>
          </w:p>
          <w:p>
            <w:pPr>
              <w:numPr>
                <w:ilvl w:val="0"/>
                <w:numId w:val="14"/>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自带冷凝水提升泵</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新风机组XFJ-140</w:t>
            </w:r>
            <w:r/>
          </w:p>
        </w:tc>
        <w:tc>
          <w:tcPr>
            <w:shd w:val="clear" w:color="auto" w:fill="auto"/>
            <w:tcW w:w="4069"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规格：额定风量≥1100m³/h；</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制冷量≥14.0KW；</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制热量≥10.0KW；</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自带控制柜，配初效过滤网</w:t>
            </w:r>
            <w:r/>
          </w:p>
          <w:p>
            <w:pPr>
              <w:numPr>
                <w:ilvl w:val="0"/>
                <w:numId w:val="1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p>
            <w:pPr>
              <w:numPr>
                <w:ilvl w:val="0"/>
                <w:numId w:val="1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包含检查接线</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新风机组XFJ-560</w:t>
            </w:r>
            <w:r/>
          </w:p>
        </w:tc>
        <w:tc>
          <w:tcPr>
            <w:shd w:val="clear" w:color="auto" w:fill="auto"/>
            <w:tcW w:w="4069"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规格：额定风量≥6000m³/h；</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制冷量≥56.0KW；</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制热量≥39.0KW；</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自带控制柜，配初效过滤网</w:t>
            </w:r>
            <w:r/>
          </w:p>
          <w:p>
            <w:pPr>
              <w:numPr>
                <w:ilvl w:val="0"/>
                <w:numId w:val="1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3HP直流变频风管式空调机组</w:t>
            </w:r>
            <w:r/>
          </w:p>
        </w:tc>
        <w:tc>
          <w:tcPr>
            <w:shd w:val="clear" w:color="auto" w:fill="auto"/>
            <w:tcW w:w="4069" w:type="dxa"/>
            <w:vAlign w:val="center"/>
            <w:textDirection w:val="lrTb"/>
            <w:noWrap w:val="false"/>
          </w:tcPr>
          <w:p>
            <w:pPr>
              <w:numPr>
                <w:ilvl w:val="0"/>
                <w:numId w:val="17"/>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制冷量(kW)≥7.2；</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制热量(kW)≥9.2；</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制冷输入功率(KW)≤2.4，制热输入功率(KW)≤3.2</w:t>
            </w:r>
            <w:r/>
          </w:p>
          <w:p>
            <w:pPr>
              <w:numPr>
                <w:ilvl w:val="0"/>
                <w:numId w:val="0"/>
              </w:numPr>
              <w:jc w:val="left"/>
              <w:keepLines w:val="0"/>
              <w:keepNext w:val="0"/>
              <w:widowControl/>
              <w:rPr>
                <w:rFonts w:ascii="宋体" w:hAnsi="宋体" w:eastAsia="宋体" w:cs="Helvetica"/>
                <w:sz w:val="24"/>
                <w:szCs w:val="24"/>
              </w:rPr>
              <w:suppressLineNumbers w:val="0"/>
            </w:pPr>
            <w:r>
              <w:rPr>
                <w:rFonts w:ascii="宋体" w:hAnsi="宋体" w:eastAsia="宋体" w:cs="Helvetica"/>
                <w:sz w:val="24"/>
                <w:szCs w:val="24"/>
                <w:lang w:val="en-US" w:eastAsia="zh-CN" w:bidi="ar-SA"/>
              </w:rPr>
              <w:t xml:space="preserve">2、</w:t>
            </w: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0"/>
              </w:numPr>
              <w:jc w:val="left"/>
              <w:keepLines w:val="0"/>
              <w:keepNext w:val="0"/>
              <w:widowControl/>
              <w:suppressLineNumbers w:val="0"/>
            </w:pPr>
            <w:r>
              <w:rPr>
                <w:rFonts w:ascii="宋体" w:hAnsi="宋体" w:eastAsia="宋体" w:cs="Helvetica"/>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14HP直流变频风管式空调机组</w:t>
            </w:r>
            <w:r/>
          </w:p>
        </w:tc>
        <w:tc>
          <w:tcPr>
            <w:shd w:val="clear" w:color="auto" w:fill="auto"/>
            <w:tcW w:w="4069"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制冷量(kW)≥40；</w:t>
            </w:r>
            <w:r/>
          </w:p>
          <w:p>
            <w:pPr>
              <w:numPr>
                <w:ilvl w:val="0"/>
                <w:numId w:val="0"/>
              </w:num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制热量(kW)≥43.0；</w:t>
            </w:r>
            <w:r/>
          </w:p>
          <w:p>
            <w:pPr>
              <w:numPr>
                <w:ilvl w:val="0"/>
                <w:numId w:val="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制冷输入功率(KW)≤18.0，制热输入功率(KW)≤15.0，额定风量≥7000m³/h</w:t>
            </w:r>
            <w:r/>
          </w:p>
          <w:p>
            <w:pPr>
              <w:numPr>
                <w:ilvl w:val="0"/>
                <w:numId w:val="1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安装形式：吊顶式</w:t>
            </w:r>
            <w:r/>
          </w:p>
          <w:p>
            <w:pPr>
              <w:numPr>
                <w:ilvl w:val="0"/>
                <w:numId w:val="18"/>
              </w:numPr>
              <w:jc w:val="left"/>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隔振垫（器）、支架形式、材质：含减震措施</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分体空调</w:t>
            </w:r>
            <w:r/>
          </w:p>
        </w:tc>
        <w:tc>
          <w:tcPr>
            <w:shd w:val="clear" w:color="auto" w:fill="auto"/>
            <w:tcW w:w="4069" w:type="dxa"/>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空调类型：变频式挂机式空调；</w:t>
            </w:r>
            <w:r/>
          </w:p>
          <w:p>
            <w:pPr>
              <w:numPr>
                <w:ilvl w:val="0"/>
                <w:numId w:val="19"/>
              </w:numPr>
              <w:ind w:left="0"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冷暖类型：冷暖电辅；</w:t>
            </w:r>
            <w:r/>
          </w:p>
          <w:p>
            <w:pPr>
              <w:numPr>
                <w:ilvl w:val="0"/>
                <w:numId w:val="19"/>
              </w:numPr>
              <w:ind w:left="0" w:firstLine="0"/>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空调匹数：1.5HP；</w:t>
            </w:r>
            <w:r/>
          </w:p>
          <w:p>
            <w:pPr>
              <w:numPr>
                <w:ilvl w:val="0"/>
                <w:numId w:val="19"/>
              </w:numPr>
              <w:ind w:left="0" w:firstLine="0"/>
              <w:jc w:val="left"/>
              <w:keepLines w:val="0"/>
              <w:keepNext w:val="0"/>
              <w:widowControl/>
              <w:rPr>
                <w:rFonts w:ascii="宋体" w:hAnsi="宋体" w:eastAsia="宋体" w:cs="Helvetica"/>
                <w:b/>
                <w:bCs/>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能效等级≥二级能效标准；</w:t>
            </w:r>
            <w:r/>
          </w:p>
          <w:p>
            <w:pPr>
              <w:numPr>
                <w:ilvl w:val="0"/>
                <w:numId w:val="19"/>
              </w:numPr>
              <w:ind w:left="0" w:firstLine="0"/>
              <w:jc w:val="left"/>
              <w:keepLines w:val="0"/>
              <w:keepNext w:val="0"/>
              <w:widowControl/>
              <w:rPr>
                <w:rFonts w:ascii="宋体" w:hAnsi="宋体" w:eastAsia="宋体" w:cs="Helvetica"/>
                <w:b/>
                <w:bCs/>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制冷量≥3500W；</w:t>
            </w:r>
            <w:r/>
          </w:p>
          <w:p>
            <w:pPr>
              <w:numPr>
                <w:ilvl w:val="0"/>
                <w:numId w:val="19"/>
              </w:numPr>
              <w:ind w:left="0" w:firstLine="0"/>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制冷功率≤960W；</w:t>
            </w:r>
            <w:r/>
          </w:p>
          <w:p>
            <w:pPr>
              <w:numPr>
                <w:ilvl w:val="0"/>
                <w:numId w:val="19"/>
              </w:numPr>
              <w:ind w:left="0" w:firstLine="0"/>
              <w:jc w:val="left"/>
              <w:keepLines w:val="0"/>
              <w:keepNext w:val="0"/>
              <w:widowControl/>
              <w:rPr>
                <w:rFonts w:ascii="宋体" w:hAnsi="宋体" w:eastAsia="宋体" w:cs="Helvetica"/>
                <w:b/>
                <w:bCs/>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制热量≥4500W；</w:t>
            </w:r>
            <w:r/>
          </w:p>
          <w:p>
            <w:pPr>
              <w:numPr>
                <w:ilvl w:val="0"/>
                <w:numId w:val="19"/>
              </w:numPr>
              <w:ind w:left="0" w:firstLine="0"/>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制热功率≤1350W；</w:t>
            </w:r>
            <w:r/>
          </w:p>
          <w:p>
            <w:pPr>
              <w:numPr>
                <w:ilvl w:val="0"/>
                <w:numId w:val="19"/>
              </w:numPr>
              <w:ind w:left="0" w:firstLine="0"/>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电辅≥1000W；</w:t>
            </w:r>
            <w:r/>
          </w:p>
          <w:p>
            <w:pPr>
              <w:numPr>
                <w:ilvl w:val="0"/>
                <w:numId w:val="19"/>
              </w:numPr>
              <w:ind w:left="0" w:firstLine="0"/>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循环风量≥650m³/h</w:t>
            </w:r>
            <w:r/>
          </w:p>
          <w:p>
            <w:pPr>
              <w:numPr>
                <w:ilvl w:val="0"/>
                <w:numId w:val="19"/>
              </w:numPr>
              <w:ind w:left="0" w:firstLine="0"/>
              <w:jc w:val="left"/>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配管长度由投标人现场勘察且满足实际需求，不锈钢支架材质为304不锈钢；</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分体空调</w:t>
            </w:r>
            <w:r/>
          </w:p>
        </w:tc>
        <w:tc>
          <w:tcPr>
            <w:shd w:val="clear" w:color="auto" w:fill="auto"/>
            <w:tcW w:w="4069" w:type="dxa"/>
            <w:vAlign w:val="center"/>
            <w:textDirection w:val="lrTb"/>
            <w:noWrap w:val="false"/>
          </w:tcPr>
          <w:p>
            <w:pPr>
              <w:numPr>
                <w:ilvl w:val="0"/>
                <w:numId w:val="2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空调类型：天井式空调；</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冷暖类型：冷暖电辅；</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空调匹数：5HP；</w:t>
            </w:r>
            <w:r/>
          </w:p>
          <w:p>
            <w:pPr>
              <w:numPr>
                <w:ilvl w:val="0"/>
                <w:numId w:val="20"/>
              </w:numPr>
              <w:jc w:val="left"/>
              <w:keepLines w:val="0"/>
              <w:keepNext w:val="0"/>
              <w:widowControl/>
              <w:rPr>
                <w:rFonts w:ascii="宋体" w:hAnsi="宋体" w:eastAsia="宋体" w:cs="Helvetica"/>
                <w:b/>
                <w:bCs/>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能效等级≥二级能效标准；</w:t>
            </w:r>
            <w:r/>
          </w:p>
          <w:p>
            <w:pPr>
              <w:numPr>
                <w:ilvl w:val="0"/>
                <w:numId w:val="20"/>
              </w:numPr>
              <w:jc w:val="left"/>
              <w:keepLines w:val="0"/>
              <w:keepNext w:val="0"/>
              <w:widowControl/>
              <w:rPr>
                <w:rFonts w:ascii="宋体" w:hAnsi="宋体" w:eastAsia="宋体" w:cs="Helvetica"/>
                <w:b/>
                <w:bCs/>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制冷量≥12000W；</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制冷功率≤4900W；</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b/>
                <w:bCs/>
                <w:szCs w:val="21"/>
              </w:rPr>
              <w:t xml:space="preserve">▲</w:t>
            </w:r>
            <w:r>
              <w:rPr>
                <w:rFonts w:hint="eastAsia" w:ascii="宋体" w:hAnsi="宋体" w:eastAsia="宋体" w:cs="宋体"/>
                <w:b/>
                <w:bCs/>
                <w:i w:val="0"/>
                <w:iCs w:val="0"/>
                <w:color w:val="000000"/>
                <w:sz w:val="24"/>
                <w:szCs w:val="24"/>
                <w:u w:val="none"/>
                <w:lang w:val="en-US" w:eastAsia="zh-CN" w:bidi="ar"/>
              </w:rPr>
              <w:t xml:space="preserve">制热量≥13500W</w:t>
            </w:r>
            <w:r>
              <w:rPr>
                <w:rFonts w:hint="eastAsia" w:ascii="宋体" w:hAnsi="宋体" w:eastAsia="宋体" w:cs="宋体"/>
                <w:i w:val="0"/>
                <w:iCs w:val="0"/>
                <w:color w:val="000000"/>
                <w:sz w:val="24"/>
                <w:szCs w:val="24"/>
                <w:u w:val="none"/>
                <w:lang w:val="en-US" w:eastAsia="zh-CN" w:bidi="ar"/>
              </w:rPr>
              <w:t xml:space="preserve">；</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制热功率≤4900W；</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电辅≥1200W；</w:t>
            </w:r>
            <w:r/>
          </w:p>
          <w:p>
            <w:pPr>
              <w:numPr>
                <w:ilvl w:val="0"/>
                <w:numId w:val="2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循环风量≥2000m³/h</w:t>
            </w:r>
            <w:r/>
          </w:p>
          <w:p>
            <w:pPr>
              <w:numPr>
                <w:ilvl w:val="0"/>
                <w:numId w:val="20"/>
              </w:numPr>
              <w:jc w:val="left"/>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配管长度由投标人现场勘察且满足实际需求，不锈钢支架材质为304不锈钢；</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其他电器</w:t>
            </w:r>
            <w:r/>
          </w:p>
        </w:tc>
        <w:tc>
          <w:tcPr>
            <w:shd w:val="clear" w:color="auto" w:fill="auto"/>
            <w:tcW w:w="4069" w:type="dxa"/>
            <w:vAlign w:val="center"/>
            <w:textDirection w:val="lrTb"/>
            <w:noWrap w:val="false"/>
          </w:tcPr>
          <w:p>
            <w:pPr>
              <w:numPr>
                <w:ilvl w:val="0"/>
                <w:numId w:val="2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名称：线控器</w:t>
            </w:r>
            <w:r/>
          </w:p>
          <w:p>
            <w:pPr>
              <w:numPr>
                <w:ilvl w:val="0"/>
                <w:numId w:val="2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规格：液晶触控，满足采购人使用要求</w:t>
            </w:r>
            <w:r/>
          </w:p>
          <w:p>
            <w:pPr>
              <w:numPr>
                <w:ilvl w:val="0"/>
                <w:numId w:val="2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安装方式：嵌入式</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铜管</w:t>
            </w:r>
            <w:r/>
          </w:p>
        </w:tc>
        <w:tc>
          <w:tcPr>
            <w:shd w:val="clear" w:color="auto" w:fill="auto"/>
            <w:tcW w:w="4069" w:type="dxa"/>
            <w:vAlign w:val="center"/>
            <w:textDirection w:val="lrTb"/>
            <w:noWrap w:val="false"/>
          </w:tcPr>
          <w:p>
            <w:pPr>
              <w:numPr>
                <w:ilvl w:val="0"/>
                <w:numId w:val="2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空调冷媒管采用脱氧亚磷无缝铜管,接头采用专用接头,焊接;铜管的壁厚不小于：φ6.4~12.7,为0.8mm;φ15.9~19.1,为1mm;φ22.2~φ25.4,为1.2mm;φ28.6~34.9,为1.3mm;φC38.1~47.6,为1.5mm.冷媒管性能和主机、管道内的制冷剂的充注参数必须同时满足各专业厂家的具体要求。</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施工前应确定空调冷媒管管径,管径的确定应满足厂家的具体技术要求,应根据内外机容量、冷媒管长度、第一分歧管后管线长度、路线、所带内机数量等以及厂家规定的其它需要考虑的因素综合确定冷媒管管径,当管长等超过规定长度时,必须采取放大管径和其它相关措施以保证空调效果。</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铜管保温材料为难燃B级闭孔优质橡塑，导热系数小于等于0.036W/m.K(0%%DC),湿阻因子≥1500,密度&lt;=95kg/m3，其它参数同时应满足《柔性泡沫橡塑绝热制品》(GB/T 17794-2008)的相关规定。制冷剂主管路保温厚度应保证不凝露,具体厚度由厂商确定。</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多联机冷媒管道的吹扫、试压按照《多联机空调系统工程技术规程》JGJ174-2010执行,同时应满足供货厂家的技术要求。</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地面以及沿外墙敷设的冷媒管应采取防护措施。</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冷媒管穿越楼板或墙体时用防水钢套管做护套,套管高出地面50mm,套管中间设止水环。</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含配套分歧器、信号线及线管。</w:t>
            </w:r>
            <w:r/>
          </w:p>
          <w:p>
            <w:pPr>
              <w:numPr>
                <w:ilvl w:val="0"/>
                <w:numId w:val="2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含冷凝水管及保温。</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1666" w:type="dxa"/>
            <w:vAlign w:val="center"/>
            <w:textDirection w:val="lrTb"/>
            <w:noWrap w:val="false"/>
          </w:tcPr>
          <w:p>
            <w:pPr>
              <w:jc w:val="center"/>
              <w:keepLines w:val="0"/>
              <w:keepNext w:val="0"/>
              <w:widowControl/>
              <w:rPr>
                <w:rFonts w:hint="eastAsia" w:ascii="宋体" w:hAnsi="宋体" w:eastAsia="宋体" w:cs="Helvetica"/>
                <w:sz w:val="24"/>
                <w:szCs w:val="24"/>
                <w:highlight w:val="none"/>
                <w:lang w:val="en-US" w:eastAsia="zh-CN"/>
              </w:rPr>
              <w:suppressLineNumbers w:val="0"/>
            </w:pPr>
            <w:r>
              <w:rPr>
                <w:rFonts w:hint="eastAsia" w:ascii="宋体" w:hAnsi="宋体" w:eastAsia="宋体" w:cs="Helvetica"/>
                <w:sz w:val="24"/>
                <w:szCs w:val="24"/>
                <w:highlight w:val="none"/>
                <w:lang w:val="en-US" w:eastAsia="zh-CN"/>
              </w:rPr>
              <w:t xml:space="preserve">塑料管</w:t>
            </w:r>
            <w:r/>
          </w:p>
        </w:tc>
        <w:tc>
          <w:tcPr>
            <w:shd w:val="clear" w:color="auto" w:fill="auto"/>
            <w:tcW w:w="4069" w:type="dxa"/>
            <w:vAlign w:val="center"/>
            <w:textDirection w:val="lrTb"/>
            <w:noWrap w:val="false"/>
          </w:tcPr>
          <w:p>
            <w:pPr>
              <w:jc w:val="left"/>
              <w:keepLines w:val="0"/>
              <w:keepNext w:val="0"/>
              <w:widowControl/>
              <w:rPr>
                <w:rFonts w:hint="eastAsia" w:ascii="宋体" w:hAnsi="宋体" w:eastAsia="宋体" w:cs="Helvetica"/>
                <w:sz w:val="24"/>
                <w:szCs w:val="24"/>
                <w:highlight w:val="none"/>
                <w:lang w:eastAsia="zh-CN"/>
              </w:rPr>
              <w:suppressLineNumbers w:val="0"/>
            </w:pPr>
            <w:r>
              <w:rPr>
                <w:rFonts w:hint="eastAsia" w:ascii="宋体" w:hAnsi="宋体" w:eastAsia="宋体" w:cs="Helvetica"/>
                <w:sz w:val="24"/>
                <w:szCs w:val="24"/>
                <w:highlight w:val="none"/>
              </w:rPr>
              <w:t xml:space="preserve">1、空调冷凝水管采用U-PVC塑料管,承插式粘接</w:t>
            </w:r>
            <w:r>
              <w:rPr>
                <w:rFonts w:hint="eastAsia" w:ascii="宋体" w:hAnsi="宋体" w:eastAsia="宋体" w:cs="Helvetica"/>
                <w:sz w:val="24"/>
                <w:szCs w:val="24"/>
                <w:highlight w:val="none"/>
                <w:lang w:eastAsia="zh-CN"/>
              </w:rPr>
              <w:t xml:space="preserve">。</w:t>
            </w:r>
            <w:r/>
          </w:p>
          <w:p>
            <w:pPr>
              <w:jc w:val="left"/>
              <w:keepLines w:val="0"/>
              <w:keepNext w:val="0"/>
              <w:widowControl/>
              <w:rPr>
                <w:rFonts w:hint="eastAsia" w:ascii="宋体" w:hAnsi="宋体" w:eastAsia="宋体" w:cs="Helvetica"/>
                <w:sz w:val="24"/>
                <w:szCs w:val="24"/>
                <w:highlight w:val="none"/>
              </w:rPr>
              <w:suppressLineNumbers w:val="0"/>
            </w:pPr>
            <w:r>
              <w:rPr>
                <w:rFonts w:hint="eastAsia" w:ascii="宋体" w:hAnsi="宋体" w:eastAsia="宋体" w:cs="Helvetica"/>
                <w:sz w:val="24"/>
                <w:szCs w:val="24"/>
                <w:highlight w:val="none"/>
              </w:rPr>
              <w:t xml:space="preserve">2、空调供货单位投标及施工前应确定空调冷凝水管管径,管径的确定应满足厂家的具体技术要求,并符合设计要求。</w:t>
            </w:r>
            <w:r/>
          </w:p>
          <w:p>
            <w:pPr>
              <w:jc w:val="left"/>
              <w:keepLines w:val="0"/>
              <w:keepNext w:val="0"/>
              <w:widowControl/>
              <w:rPr>
                <w:rFonts w:hint="eastAsia" w:ascii="宋体" w:hAnsi="宋体" w:eastAsia="宋体" w:cs="Helvetica"/>
                <w:sz w:val="24"/>
                <w:szCs w:val="24"/>
                <w:highlight w:val="none"/>
              </w:rPr>
              <w:suppressLineNumbers w:val="0"/>
            </w:pPr>
            <w:r>
              <w:rPr>
                <w:rFonts w:hint="eastAsia" w:ascii="宋体" w:hAnsi="宋体" w:eastAsia="宋体" w:cs="Helvetica"/>
                <w:sz w:val="24"/>
                <w:szCs w:val="24"/>
                <w:highlight w:val="none"/>
              </w:rPr>
              <w:t xml:space="preserve">3、塑料管保温材料为难燃B1级橡塑保温材料保温，其参数应满足《柔性泡沫橡塑绝热制品》(GB/T 17794-2008)的相关规定，保温厚度详见图纸。</w:t>
            </w:r>
            <w:r/>
          </w:p>
          <w:p>
            <w:pPr>
              <w:jc w:val="left"/>
              <w:keepLines w:val="0"/>
              <w:keepNext w:val="0"/>
              <w:widowControl/>
              <w:rPr>
                <w:rFonts w:hint="eastAsia" w:ascii="宋体" w:hAnsi="宋体" w:eastAsia="宋体" w:cs="Helvetica"/>
                <w:sz w:val="24"/>
                <w:szCs w:val="24"/>
                <w:highlight w:val="none"/>
              </w:rPr>
              <w:suppressLineNumbers w:val="0"/>
            </w:pPr>
            <w:r>
              <w:rPr>
                <w:rFonts w:hint="eastAsia" w:ascii="宋体" w:hAnsi="宋体" w:eastAsia="宋体" w:cs="Helvetica"/>
                <w:sz w:val="24"/>
                <w:szCs w:val="24"/>
                <w:highlight w:val="none"/>
              </w:rPr>
              <w:t xml:space="preserve">4、冷凝水管包含管件及清扫口。</w:t>
            </w:r>
            <w:r/>
          </w:p>
          <w:p>
            <w:pPr>
              <w:jc w:val="left"/>
              <w:keepLines w:val="0"/>
              <w:keepNext w:val="0"/>
              <w:widowControl/>
              <w:rPr>
                <w:rFonts w:hint="eastAsia" w:ascii="宋体" w:hAnsi="宋体" w:eastAsia="宋体" w:cs="Helvetica"/>
                <w:sz w:val="24"/>
                <w:szCs w:val="24"/>
                <w:highlight w:val="none"/>
                <w:lang w:eastAsia="zh-CN"/>
              </w:rPr>
              <w:suppressLineNumbers w:val="0"/>
            </w:pPr>
            <w:r>
              <w:rPr>
                <w:rFonts w:hint="eastAsia" w:ascii="宋体" w:hAnsi="宋体" w:eastAsia="宋体" w:cs="Helvetica"/>
                <w:sz w:val="24"/>
                <w:szCs w:val="24"/>
                <w:highlight w:val="none"/>
              </w:rPr>
              <w:t xml:space="preserve">5、包含开洞、补洞的费用</w:t>
            </w:r>
            <w:r>
              <w:rPr>
                <w:rFonts w:hint="eastAsia" w:ascii="宋体" w:hAnsi="宋体" w:eastAsia="宋体" w:cs="Helvetica"/>
                <w:sz w:val="24"/>
                <w:szCs w:val="24"/>
                <w:highlight w:val="none"/>
                <w:lang w:eastAsia="zh-CN"/>
              </w:rPr>
              <w:t xml:space="preserve">。</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highlight w:val="none"/>
              </w:rPr>
            </w:pPr>
            <w:r>
              <w:rPr>
                <w:rFonts w:hint="eastAsia" w:ascii="宋体" w:hAnsi="宋体" w:eastAsia="宋体" w:cs="Helvetica"/>
                <w:sz w:val="24"/>
                <w:szCs w:val="24"/>
                <w:highlight w:val="none"/>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1666"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设备支架</w:t>
            </w:r>
            <w:r/>
          </w:p>
        </w:tc>
        <w:tc>
          <w:tcPr>
            <w:shd w:val="clear" w:color="auto" w:fill="auto"/>
            <w:tcW w:w="4069" w:type="dxa"/>
            <w:vAlign w:val="center"/>
            <w:textDirection w:val="lrTb"/>
            <w:noWrap w:val="false"/>
          </w:tcPr>
          <w:p>
            <w:pPr>
              <w:numPr>
                <w:ilvl w:val="0"/>
                <w:numId w:val="23"/>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材质：型钢</w:t>
            </w:r>
            <w:r/>
          </w:p>
          <w:p>
            <w:pPr>
              <w:numPr>
                <w:ilvl w:val="0"/>
                <w:numId w:val="23"/>
              </w:numPr>
              <w:jc w:val="left"/>
              <w:keepLines w:val="0"/>
              <w:keepNext w:val="0"/>
              <w:widowControl/>
              <w:rPr>
                <w:rFonts w:hint="eastAsia" w:ascii="宋体" w:hAnsi="宋体" w:eastAsia="宋体" w:cs="Helvetica"/>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形式：支吊架</w:t>
            </w:r>
            <w:r/>
          </w:p>
          <w:p>
            <w:pPr>
              <w:numPr>
                <w:ilvl w:val="0"/>
                <w:numId w:val="23"/>
              </w:numPr>
              <w:jc w:val="left"/>
              <w:keepLines w:val="0"/>
              <w:keepNext w:val="0"/>
              <w:widowControl/>
              <w:rPr>
                <w:rFonts w:hint="eastAsia" w:ascii="宋体" w:hAnsi="宋体" w:eastAsia="宋体" w:cs="Helvetica"/>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包含风机、风管设备、阀门等支吊架</w:t>
            </w:r>
            <w:r/>
          </w:p>
          <w:p>
            <w:pPr>
              <w:numPr>
                <w:ilvl w:val="0"/>
                <w:numId w:val="23"/>
              </w:numPr>
              <w:jc w:val="left"/>
              <w:keepLines w:val="0"/>
              <w:keepNext w:val="0"/>
              <w:widowControl/>
              <w:rPr>
                <w:rFonts w:hint="eastAsia" w:ascii="宋体" w:hAnsi="宋体" w:eastAsia="宋体" w:cs="Helvetica"/>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将现场操作高度增加费综合考虑在内</w:t>
            </w:r>
            <w:r/>
          </w:p>
        </w:tc>
        <w:tc>
          <w:tcPr>
            <w:shd w:val="clear" w:color="auto" w:fill="auto"/>
            <w:tcW w:w="654"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W w:w="1100"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W w:w="1148" w:type="dxa"/>
            <w:vAlign w:val="center"/>
            <w:textDirection w:val="lrTb"/>
            <w:noWrap w:val="false"/>
          </w:tcPr>
          <w:p>
            <w:pPr>
              <w:jc w:val="center"/>
              <w:spacing w:line="360" w:lineRule="auto"/>
              <w:widowControl/>
              <w:rPr>
                <w:rFonts w:hint="eastAsia" w:ascii="宋体" w:hAnsi="宋体" w:eastAsia="宋体" w:cs="Helvetica"/>
                <w:sz w:val="24"/>
                <w:szCs w:val="24"/>
                <w:lang w:val="en-US" w:eastAsia="zh-CN" w:bidi="ar-SA"/>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管道支架</w:t>
            </w:r>
            <w:r/>
          </w:p>
        </w:tc>
        <w:tc>
          <w:tcPr>
            <w:shd w:val="clear" w:color="auto" w:fill="auto"/>
            <w:tcW w:w="4069" w:type="dxa"/>
            <w:vAlign w:val="center"/>
            <w:textDirection w:val="lrTb"/>
            <w:noWrap w:val="false"/>
          </w:tcPr>
          <w:p>
            <w:pPr>
              <w:numPr>
                <w:ilvl w:val="0"/>
                <w:numId w:val="2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材质：型钢</w:t>
            </w:r>
            <w:r/>
          </w:p>
          <w:p>
            <w:pPr>
              <w:numPr>
                <w:ilvl w:val="0"/>
                <w:numId w:val="2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形式：支吊架</w:t>
            </w:r>
            <w:r/>
          </w:p>
          <w:p>
            <w:pPr>
              <w:numPr>
                <w:ilvl w:val="0"/>
                <w:numId w:val="2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将现场操作高度增加费综合考虑在内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金属结构刷油</w:t>
            </w:r>
            <w:r/>
          </w:p>
        </w:tc>
        <w:tc>
          <w:tcPr>
            <w:shd w:val="clear" w:color="auto" w:fill="auto"/>
            <w:tcW w:w="4069" w:type="dxa"/>
            <w:vAlign w:val="center"/>
            <w:textDirection w:val="lrTb"/>
            <w:noWrap w:val="false"/>
          </w:tcPr>
          <w:p>
            <w:pPr>
              <w:numPr>
                <w:ilvl w:val="0"/>
                <w:numId w:val="2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除锈级别：手工除锈</w:t>
            </w:r>
            <w:r/>
          </w:p>
          <w:p>
            <w:pPr>
              <w:numPr>
                <w:ilvl w:val="0"/>
                <w:numId w:val="2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油漆品种：除锈后刷两遍防锈漆，外露再刷两遍与周围颜色协调的调和漆</w:t>
            </w:r>
            <w:r/>
          </w:p>
          <w:p>
            <w:pPr>
              <w:numPr>
                <w:ilvl w:val="0"/>
                <w:numId w:val="2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将现场操作高度增加费综合考虑在内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抗震支架</w:t>
            </w:r>
            <w:r/>
          </w:p>
        </w:tc>
        <w:tc>
          <w:tcPr>
            <w:shd w:val="clear" w:color="auto" w:fill="auto"/>
            <w:tcW w:w="4069" w:type="dxa"/>
            <w:vAlign w:val="center"/>
            <w:textDirection w:val="lrTb"/>
            <w:noWrap w:val="false"/>
          </w:tcPr>
          <w:p>
            <w:pPr>
              <w:numPr>
                <w:ilvl w:val="0"/>
                <w:numId w:val="2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管架形式：详见图纸</w:t>
            </w:r>
            <w:r/>
          </w:p>
          <w:p>
            <w:pPr>
              <w:numPr>
                <w:ilvl w:val="0"/>
                <w:numId w:val="26"/>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其他：抗震支吊架须满足《建筑机电设备抗震支架通用技术》(CJ/T476-2015)</w:t>
            </w:r>
            <w:r/>
          </w:p>
          <w:p>
            <w:pPr>
              <w:numPr>
                <w:ilvl w:val="0"/>
                <w:numId w:val="26"/>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由中标人负责委托具有资质的设计单位进行深化设计，并组织专家论证，以确保安全型</w:t>
            </w:r>
            <w:r/>
          </w:p>
          <w:p>
            <w:pPr>
              <w:numPr>
                <w:ilvl w:val="0"/>
                <w:numId w:val="26"/>
              </w:numPr>
              <w:jc w:val="left"/>
              <w:keepLines w:val="0"/>
              <w:keepNext w:val="0"/>
              <w:widowControl/>
              <w:rPr>
                <w:rFonts w:ascii="宋体" w:hAnsi="宋体" w:eastAsia="宋体" w:cs="Helvetic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计、论证、施工、检验监测等所需全部费用由投标人综合考虑在包括在投标报价内，（包括后期所有的抗震支架）按综合单价计入，投标单位根据现场、图纸、招标文件和所有施工规范等资料,充分考虑，投标人综合报价，一次性包死，中标后不予调整</w:t>
            </w:r>
            <w:r/>
          </w:p>
          <w:p>
            <w:pPr>
              <w:numPr>
                <w:ilvl w:val="0"/>
                <w:numId w:val="2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其他未尽事宜，具体详见图纸、图集、答疑、招标文件、政府相关文件、规范等资料，满足验收要求</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碳钢通风管道</w:t>
            </w:r>
            <w:r/>
          </w:p>
        </w:tc>
        <w:tc>
          <w:tcPr>
            <w:shd w:val="clear" w:color="auto" w:fill="auto"/>
            <w:tcW w:w="4069" w:type="dxa"/>
            <w:vAlign w:val="center"/>
            <w:textDirection w:val="lrTb"/>
            <w:noWrap w:val="false"/>
          </w:tcPr>
          <w:p>
            <w:pPr>
              <w:numPr>
                <w:ilvl w:val="0"/>
                <w:numId w:val="2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名称：碳钢风管及保温</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材质：镀锌钢板</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形状：矩形</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规格：周长4000mm以下</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板材厚度：0.75mm</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管件、法兰等附件及支架(含防腐）设计要求 ：按图纸及规范要求</w:t>
            </w:r>
            <w:r/>
          </w:p>
          <w:p>
            <w:pPr>
              <w:numPr>
                <w:ilvl w:val="0"/>
                <w:numId w:val="2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接口形式：咬口</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596.5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通风管道绝热1</w:t>
            </w:r>
            <w:r/>
          </w:p>
        </w:tc>
        <w:tc>
          <w:tcPr>
            <w:shd w:val="clear" w:color="auto" w:fill="auto"/>
            <w:tcW w:w="4069" w:type="dxa"/>
            <w:vAlign w:val="center"/>
            <w:textDirection w:val="lrTb"/>
            <w:noWrap w:val="false"/>
          </w:tcPr>
          <w:p>
            <w:pPr>
              <w:numPr>
                <w:ilvl w:val="0"/>
                <w:numId w:val="2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绝热材料品种：难燃B1级柔性泡沫橡塑</w:t>
            </w:r>
            <w:r/>
          </w:p>
          <w:p>
            <w:pPr>
              <w:numPr>
                <w:ilvl w:val="0"/>
                <w:numId w:val="2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绝热厚度：35mm</w:t>
            </w:r>
            <w:r/>
          </w:p>
          <w:p>
            <w:pPr>
              <w:numPr>
                <w:ilvl w:val="0"/>
                <w:numId w:val="2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将现场操作高度增加费综合考虑在内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22.52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通风管道绝热2</w:t>
            </w:r>
            <w:r/>
          </w:p>
        </w:tc>
        <w:tc>
          <w:tcPr>
            <w:shd w:val="clear" w:color="auto" w:fill="auto"/>
            <w:tcW w:w="4069" w:type="dxa"/>
            <w:vAlign w:val="center"/>
            <w:textDirection w:val="lrTb"/>
            <w:noWrap w:val="false"/>
          </w:tcPr>
          <w:p>
            <w:pPr>
              <w:numPr>
                <w:ilvl w:val="0"/>
                <w:numId w:val="2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绝热材料品种：离心玻璃棉</w:t>
            </w:r>
            <w:r/>
          </w:p>
          <w:p>
            <w:pPr>
              <w:numPr>
                <w:ilvl w:val="0"/>
                <w:numId w:val="2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绝热厚度：50mm</w:t>
            </w:r>
            <w:r/>
          </w:p>
          <w:p>
            <w:pPr>
              <w:numPr>
                <w:ilvl w:val="0"/>
                <w:numId w:val="2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将现场操作高度增加费综合考虑在内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4.52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管道绝热1</w:t>
            </w:r>
            <w:r/>
          </w:p>
        </w:tc>
        <w:tc>
          <w:tcPr>
            <w:shd w:val="clear" w:color="auto" w:fill="auto"/>
            <w:tcW w:w="4069" w:type="dxa"/>
            <w:vAlign w:val="center"/>
            <w:textDirection w:val="lrTb"/>
            <w:noWrap w:val="false"/>
          </w:tcPr>
          <w:p>
            <w:pPr>
              <w:numPr>
                <w:ilvl w:val="0"/>
                <w:numId w:val="3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绝热材料品种：难燃B1级柔性泡沫橡塑</w:t>
            </w:r>
            <w:r/>
          </w:p>
          <w:p>
            <w:pPr>
              <w:numPr>
                <w:ilvl w:val="0"/>
                <w:numId w:val="3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绝热厚度：15mm</w:t>
            </w:r>
            <w:r/>
          </w:p>
          <w:p>
            <w:pPr>
              <w:numPr>
                <w:ilvl w:val="0"/>
                <w:numId w:val="3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管道外径：φ57mm以下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0.75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管道绝热2</w:t>
            </w:r>
            <w:r/>
          </w:p>
        </w:tc>
        <w:tc>
          <w:tcPr>
            <w:shd w:val="clear" w:color="auto" w:fill="auto"/>
            <w:tcW w:w="4069" w:type="dxa"/>
            <w:vAlign w:val="center"/>
            <w:textDirection w:val="lrTb"/>
            <w:noWrap w:val="false"/>
          </w:tcPr>
          <w:p>
            <w:pPr>
              <w:numPr>
                <w:ilvl w:val="0"/>
                <w:numId w:val="3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绝热材料品种：难燃B1级橡塑</w:t>
            </w:r>
            <w:r/>
          </w:p>
          <w:p>
            <w:pPr>
              <w:numPr>
                <w:ilvl w:val="0"/>
                <w:numId w:val="3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绝热厚度：20mm</w:t>
            </w:r>
            <w:r/>
          </w:p>
          <w:p>
            <w:pPr>
              <w:numPr>
                <w:ilvl w:val="0"/>
                <w:numId w:val="3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管道外径：φ57mm以下</w:t>
            </w:r>
            <w:r/>
          </w:p>
          <w:p>
            <w:pPr>
              <w:numPr>
                <w:ilvl w:val="0"/>
                <w:numId w:val="3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消声静压箱</w:t>
            </w:r>
            <w:r/>
          </w:p>
        </w:tc>
        <w:tc>
          <w:tcPr>
            <w:shd w:val="clear" w:color="auto" w:fill="auto"/>
            <w:tcW w:w="4069" w:type="dxa"/>
            <w:vAlign w:val="center"/>
            <w:textDirection w:val="lrTb"/>
            <w:noWrap w:val="false"/>
          </w:tcPr>
          <w:p>
            <w:pPr>
              <w:numPr>
                <w:ilvl w:val="0"/>
                <w:numId w:val="3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规格：1500mm*600mm*1000mm</w:t>
            </w:r>
            <w:r/>
          </w:p>
          <w:p>
            <w:pPr>
              <w:numPr>
                <w:ilvl w:val="0"/>
                <w:numId w:val="3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材质：详见图纸</w:t>
            </w:r>
            <w:r/>
          </w:p>
          <w:p>
            <w:pPr>
              <w:numPr>
                <w:ilvl w:val="0"/>
                <w:numId w:val="3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支架形式、材质：型钢制作安装</w:t>
            </w:r>
            <w:r/>
          </w:p>
          <w:p>
            <w:pPr>
              <w:numPr>
                <w:ilvl w:val="0"/>
                <w:numId w:val="3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电动对开多叶             调节阀1</w:t>
            </w:r>
            <w:r/>
          </w:p>
        </w:tc>
        <w:tc>
          <w:tcPr>
            <w:shd w:val="clear" w:color="auto" w:fill="auto"/>
            <w:tcW w:w="4069" w:type="dxa"/>
            <w:vAlign w:val="center"/>
            <w:textDirection w:val="lrTb"/>
            <w:noWrap w:val="false"/>
          </w:tcPr>
          <w:p>
            <w:pPr>
              <w:numPr>
                <w:ilvl w:val="0"/>
                <w:numId w:val="3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规格：320mm*160mm，碳钢材质，含执行机构及检查接线</w:t>
            </w:r>
            <w:r/>
          </w:p>
          <w:p>
            <w:pPr>
              <w:numPr>
                <w:ilvl w:val="0"/>
                <w:numId w:val="3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支架形式、材质：型钢支架</w:t>
            </w:r>
            <w:r/>
          </w:p>
          <w:p>
            <w:pPr>
              <w:numPr>
                <w:ilvl w:val="0"/>
                <w:numId w:val="3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电动对开多叶         调节阀2</w:t>
            </w:r>
            <w:r/>
          </w:p>
        </w:tc>
        <w:tc>
          <w:tcPr>
            <w:shd w:val="clear" w:color="auto" w:fill="auto"/>
            <w:tcW w:w="4069" w:type="dxa"/>
            <w:vAlign w:val="center"/>
            <w:textDirection w:val="lrTb"/>
            <w:noWrap w:val="false"/>
          </w:tcPr>
          <w:p>
            <w:pPr>
              <w:numPr>
                <w:ilvl w:val="0"/>
                <w:numId w:val="3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规格：700mm*200mm，碳钢材质，含执行机构及检查接线</w:t>
            </w:r>
            <w:r/>
          </w:p>
          <w:p>
            <w:pPr>
              <w:numPr>
                <w:ilvl w:val="0"/>
                <w:numId w:val="3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支架形式、材质：型钢支架</w:t>
            </w:r>
            <w:r/>
          </w:p>
          <w:p>
            <w:pPr>
              <w:numPr>
                <w:ilvl w:val="0"/>
                <w:numId w:val="3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电动对开多叶         调节阀3</w:t>
            </w:r>
            <w:r/>
          </w:p>
        </w:tc>
        <w:tc>
          <w:tcPr>
            <w:shd w:val="clear" w:color="auto" w:fill="auto"/>
            <w:tcW w:w="4069" w:type="dxa"/>
            <w:vAlign w:val="center"/>
            <w:textDirection w:val="lrTb"/>
            <w:noWrap w:val="false"/>
          </w:tcPr>
          <w:p>
            <w:pPr>
              <w:numPr>
                <w:ilvl w:val="0"/>
                <w:numId w:val="3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规格：800mm*500mm，碳钢材质，含执行机构及检查接线</w:t>
            </w:r>
            <w:r/>
          </w:p>
          <w:p>
            <w:pPr>
              <w:numPr>
                <w:ilvl w:val="0"/>
                <w:numId w:val="3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支架形式、材质：型钢支架</w:t>
            </w:r>
            <w:r/>
          </w:p>
          <w:p>
            <w:pPr>
              <w:numPr>
                <w:ilvl w:val="0"/>
                <w:numId w:val="3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70℃常开防火阀1</w:t>
            </w:r>
            <w:r/>
          </w:p>
        </w:tc>
        <w:tc>
          <w:tcPr>
            <w:shd w:val="clear" w:color="auto" w:fill="auto"/>
            <w:tcW w:w="4069" w:type="dxa"/>
            <w:vAlign w:val="center"/>
            <w:textDirection w:val="lrTb"/>
            <w:noWrap w:val="false"/>
          </w:tcPr>
          <w:p>
            <w:pPr>
              <w:numPr>
                <w:ilvl w:val="0"/>
                <w:numId w:val="3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规格：320mm*160mm，碳钢材质，含执行机构及检查接线</w:t>
            </w:r>
            <w:r/>
          </w:p>
          <w:p>
            <w:pPr>
              <w:numPr>
                <w:ilvl w:val="0"/>
                <w:numId w:val="3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支架形式、材质：型钢支架</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70℃常开防火阀2</w:t>
            </w:r>
            <w:r/>
          </w:p>
        </w:tc>
        <w:tc>
          <w:tcPr>
            <w:shd w:val="clear" w:color="auto" w:fill="auto"/>
            <w:tcW w:w="4069" w:type="dxa"/>
            <w:vAlign w:val="center"/>
            <w:textDirection w:val="lrTb"/>
            <w:noWrap w:val="false"/>
          </w:tcPr>
          <w:p>
            <w:pPr>
              <w:numPr>
                <w:ilvl w:val="0"/>
                <w:numId w:val="3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 400mm*200mm，碳钢材质，含执行机构及检查接线 </w:t>
            </w:r>
            <w:r/>
          </w:p>
          <w:p>
            <w:pPr>
              <w:numPr>
                <w:ilvl w:val="0"/>
                <w:numId w:val="3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支架形式、材质：型钢支架</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单层百叶风口1</w:t>
            </w:r>
            <w:r/>
          </w:p>
        </w:tc>
        <w:tc>
          <w:tcPr>
            <w:shd w:val="clear" w:color="auto" w:fill="auto"/>
            <w:tcW w:w="4069" w:type="dxa"/>
            <w:vAlign w:val="center"/>
            <w:textDirection w:val="lrTb"/>
            <w:noWrap w:val="false"/>
          </w:tcPr>
          <w:p>
            <w:pPr>
              <w:numPr>
                <w:ilvl w:val="0"/>
                <w:numId w:val="3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规格：400mm*200mm ABS材质 </w:t>
            </w:r>
            <w:r/>
          </w:p>
          <w:p>
            <w:pPr>
              <w:numPr>
                <w:ilvl w:val="0"/>
                <w:numId w:val="3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单层百叶风口2</w:t>
            </w:r>
            <w:r/>
          </w:p>
        </w:tc>
        <w:tc>
          <w:tcPr>
            <w:shd w:val="clear" w:color="auto" w:fill="auto"/>
            <w:tcW w:w="4069" w:type="dxa"/>
            <w:vAlign w:val="center"/>
            <w:textDirection w:val="lrTb"/>
            <w:noWrap w:val="false"/>
          </w:tcPr>
          <w:p>
            <w:pPr>
              <w:numPr>
                <w:ilvl w:val="0"/>
                <w:numId w:val="3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规格：900mm*200mm ABS材质</w:t>
            </w:r>
            <w:r/>
          </w:p>
          <w:p>
            <w:pPr>
              <w:numPr>
                <w:ilvl w:val="0"/>
                <w:numId w:val="3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单层百叶风口3</w:t>
            </w:r>
            <w:r/>
          </w:p>
        </w:tc>
        <w:tc>
          <w:tcPr>
            <w:shd w:val="clear" w:color="auto" w:fill="auto"/>
            <w:tcW w:w="4069" w:type="dxa"/>
            <w:vAlign w:val="center"/>
            <w:textDirection w:val="lrTb"/>
            <w:noWrap w:val="false"/>
          </w:tcPr>
          <w:p>
            <w:pPr>
              <w:numPr>
                <w:ilvl w:val="0"/>
                <w:numId w:val="4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规格：1200mm*200mm ABS材质</w:t>
            </w:r>
            <w:r/>
          </w:p>
          <w:p>
            <w:pPr>
              <w:numPr>
                <w:ilvl w:val="0"/>
                <w:numId w:val="4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单层百叶风口4</w:t>
            </w:r>
            <w:r/>
          </w:p>
        </w:tc>
        <w:tc>
          <w:tcPr>
            <w:shd w:val="clear" w:color="auto" w:fill="auto"/>
            <w:tcW w:w="4069" w:type="dxa"/>
            <w:vAlign w:val="center"/>
            <w:textDirection w:val="lrTb"/>
            <w:noWrap w:val="false"/>
          </w:tcPr>
          <w:p>
            <w:pPr>
              <w:numPr>
                <w:ilvl w:val="0"/>
                <w:numId w:val="4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规格：1100mm*250mm ABS材质</w:t>
            </w:r>
            <w:r/>
          </w:p>
          <w:p>
            <w:pPr>
              <w:numPr>
                <w:ilvl w:val="0"/>
                <w:numId w:val="4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p>
            <w:pPr>
              <w:numPr>
                <w:ilvl w:val="0"/>
                <w:numId w:val="4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双层百叶风口5</w:t>
            </w:r>
            <w:r/>
          </w:p>
        </w:tc>
        <w:tc>
          <w:tcPr>
            <w:shd w:val="clear" w:color="auto" w:fill="auto"/>
            <w:tcW w:w="4069" w:type="dxa"/>
            <w:vAlign w:val="center"/>
            <w:textDirection w:val="lrTb"/>
            <w:noWrap w:val="false"/>
          </w:tcPr>
          <w:p>
            <w:pPr>
              <w:numPr>
                <w:ilvl w:val="0"/>
                <w:numId w:val="4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规格：300mm*200mm ABS材质</w:t>
            </w:r>
            <w:r/>
          </w:p>
          <w:p>
            <w:pPr>
              <w:numPr>
                <w:ilvl w:val="0"/>
                <w:numId w:val="4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p>
            <w:pPr>
              <w:numPr>
                <w:ilvl w:val="0"/>
                <w:numId w:val="4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双层百叶风口6</w:t>
            </w:r>
            <w:r/>
          </w:p>
        </w:tc>
        <w:tc>
          <w:tcPr>
            <w:shd w:val="clear" w:color="auto" w:fill="auto"/>
            <w:tcW w:w="4069" w:type="dxa"/>
            <w:vAlign w:val="center"/>
            <w:textDirection w:val="lrTb"/>
            <w:noWrap w:val="false"/>
          </w:tcPr>
          <w:p>
            <w:pPr>
              <w:numPr>
                <w:ilvl w:val="0"/>
                <w:numId w:val="4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规格：300mm*300mm ABS材质</w:t>
            </w:r>
            <w:r/>
          </w:p>
          <w:p>
            <w:pPr>
              <w:numPr>
                <w:ilvl w:val="0"/>
                <w:numId w:val="4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p>
            <w:pPr>
              <w:numPr>
                <w:ilvl w:val="0"/>
                <w:numId w:val="4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双层百叶风口7</w:t>
            </w:r>
            <w:r/>
          </w:p>
        </w:tc>
        <w:tc>
          <w:tcPr>
            <w:shd w:val="clear" w:color="auto" w:fill="auto"/>
            <w:tcW w:w="4069" w:type="dxa"/>
            <w:vAlign w:val="center"/>
            <w:textDirection w:val="lrTb"/>
            <w:noWrap w:val="false"/>
          </w:tcPr>
          <w:p>
            <w:pPr>
              <w:numPr>
                <w:ilvl w:val="0"/>
                <w:numId w:val="4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规格：400mm*400mm ABS材质</w:t>
            </w:r>
            <w:r/>
          </w:p>
          <w:p>
            <w:pPr>
              <w:numPr>
                <w:ilvl w:val="0"/>
                <w:numId w:val="4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p>
            <w:pPr>
              <w:numPr>
                <w:ilvl w:val="0"/>
                <w:numId w:val="4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双层百叶风口8</w:t>
            </w:r>
            <w:r/>
          </w:p>
        </w:tc>
        <w:tc>
          <w:tcPr>
            <w:shd w:val="clear" w:color="auto" w:fill="auto"/>
            <w:tcW w:w="4069" w:type="dxa"/>
            <w:vAlign w:val="center"/>
            <w:textDirection w:val="lrTb"/>
            <w:noWrap w:val="false"/>
          </w:tcPr>
          <w:p>
            <w:pPr>
              <w:numPr>
                <w:ilvl w:val="0"/>
                <w:numId w:val="4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规格：800mm*200mm ABS材质 </w:t>
            </w:r>
            <w:r/>
          </w:p>
          <w:p>
            <w:pPr>
              <w:numPr>
                <w:ilvl w:val="0"/>
                <w:numId w:val="4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 </w:t>
            </w:r>
            <w:r/>
          </w:p>
          <w:p>
            <w:pPr>
              <w:numPr>
                <w:ilvl w:val="0"/>
                <w:numId w:val="4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防雨百叶风口9</w:t>
            </w:r>
            <w:r/>
          </w:p>
        </w:tc>
        <w:tc>
          <w:tcPr>
            <w:shd w:val="clear" w:color="auto" w:fill="auto"/>
            <w:tcW w:w="4069" w:type="dxa"/>
            <w:vAlign w:val="center"/>
            <w:textDirection w:val="lrTb"/>
            <w:noWrap w:val="false"/>
          </w:tcPr>
          <w:p>
            <w:pPr>
              <w:numPr>
                <w:ilvl w:val="0"/>
                <w:numId w:val="4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规格：320mm*160mm ABS材质</w:t>
            </w:r>
            <w:r/>
          </w:p>
          <w:p>
            <w:pPr>
              <w:numPr>
                <w:ilvl w:val="0"/>
                <w:numId w:val="4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包含开洞、补洞修复等</w:t>
            </w:r>
            <w:r/>
          </w:p>
          <w:p>
            <w:pPr>
              <w:numPr>
                <w:ilvl w:val="0"/>
                <w:numId w:val="4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p>
            <w:pPr>
              <w:numPr>
                <w:ilvl w:val="0"/>
                <w:numId w:val="4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防雨百叶风口10</w:t>
            </w:r>
            <w:r/>
          </w:p>
        </w:tc>
        <w:tc>
          <w:tcPr>
            <w:shd w:val="clear" w:color="auto" w:fill="auto"/>
            <w:tcW w:w="4069" w:type="dxa"/>
            <w:vAlign w:val="center"/>
            <w:textDirection w:val="lrTb"/>
            <w:noWrap w:val="false"/>
          </w:tcPr>
          <w:p>
            <w:pPr>
              <w:numPr>
                <w:ilvl w:val="0"/>
                <w:numId w:val="4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规格：700mm*200mm ABS材质</w:t>
            </w:r>
            <w:r/>
          </w:p>
          <w:p>
            <w:pPr>
              <w:numPr>
                <w:ilvl w:val="0"/>
                <w:numId w:val="4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包含开洞、补洞修复等</w:t>
            </w:r>
            <w:r/>
          </w:p>
          <w:p>
            <w:pPr>
              <w:numPr>
                <w:ilvl w:val="0"/>
                <w:numId w:val="4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p>
            <w:pPr>
              <w:numPr>
                <w:ilvl w:val="0"/>
                <w:numId w:val="4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防雨百叶风口11</w:t>
            </w:r>
            <w:r/>
          </w:p>
        </w:tc>
        <w:tc>
          <w:tcPr>
            <w:shd w:val="clear" w:color="auto" w:fill="auto"/>
            <w:tcW w:w="4069" w:type="dxa"/>
            <w:vAlign w:val="center"/>
            <w:textDirection w:val="lrTb"/>
            <w:noWrap w:val="false"/>
          </w:tcPr>
          <w:p>
            <w:pPr>
              <w:numPr>
                <w:ilvl w:val="0"/>
                <w:numId w:val="4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规格：800mm*500mm ABS材质</w:t>
            </w:r>
            <w:r/>
          </w:p>
          <w:p>
            <w:pPr>
              <w:numPr>
                <w:ilvl w:val="0"/>
                <w:numId w:val="4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包含开洞、补洞修复等</w:t>
            </w:r>
            <w:r/>
          </w:p>
          <w:p>
            <w:pPr>
              <w:numPr>
                <w:ilvl w:val="0"/>
                <w:numId w:val="4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p>
            <w:pPr>
              <w:numPr>
                <w:ilvl w:val="0"/>
                <w:numId w:val="4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旋流风口1</w:t>
            </w:r>
            <w:r/>
          </w:p>
        </w:tc>
        <w:tc>
          <w:tcPr>
            <w:shd w:val="clear" w:color="auto" w:fill="auto"/>
            <w:tcW w:w="4069" w:type="dxa"/>
            <w:vAlign w:val="center"/>
            <w:textDirection w:val="lrTb"/>
            <w:noWrap w:val="false"/>
          </w:tcPr>
          <w:p>
            <w:pPr>
              <w:numPr>
                <w:ilvl w:val="0"/>
                <w:numId w:val="4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规格：φ315</w:t>
            </w:r>
            <w:r/>
          </w:p>
          <w:p>
            <w:pPr>
              <w:numPr>
                <w:ilvl w:val="0"/>
                <w:numId w:val="4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p>
            <w:pPr>
              <w:numPr>
                <w:ilvl w:val="0"/>
                <w:numId w:val="4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旋流风口2</w:t>
            </w:r>
            <w:r/>
          </w:p>
        </w:tc>
        <w:tc>
          <w:tcPr>
            <w:shd w:val="clear" w:color="auto" w:fill="auto"/>
            <w:tcW w:w="4069" w:type="dxa"/>
            <w:vAlign w:val="center"/>
            <w:textDirection w:val="lrTb"/>
            <w:noWrap w:val="false"/>
          </w:tcPr>
          <w:p>
            <w:pPr>
              <w:numPr>
                <w:ilvl w:val="0"/>
                <w:numId w:val="5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规格：φ800</w:t>
            </w:r>
            <w:r/>
          </w:p>
          <w:p>
            <w:pPr>
              <w:numPr>
                <w:ilvl w:val="0"/>
                <w:numId w:val="5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p>
            <w:pPr>
              <w:numPr>
                <w:ilvl w:val="0"/>
                <w:numId w:val="5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其他详见图纸及设计规范</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软接</w:t>
            </w:r>
            <w:r/>
          </w:p>
        </w:tc>
        <w:tc>
          <w:tcPr>
            <w:shd w:val="clear" w:color="auto" w:fill="auto"/>
            <w:tcW w:w="4069" w:type="dxa"/>
            <w:vAlign w:val="center"/>
            <w:textDirection w:val="lrTb"/>
            <w:noWrap w:val="false"/>
          </w:tcPr>
          <w:p>
            <w:pPr>
              <w:numPr>
                <w:ilvl w:val="0"/>
                <w:numId w:val="5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材质：包含柔性接头的保温处理</w:t>
            </w:r>
            <w:r/>
          </w:p>
          <w:p>
            <w:pPr>
              <w:numPr>
                <w:ilvl w:val="0"/>
                <w:numId w:val="5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18.15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gridSpan w:val="6"/>
            <w:shd w:val="clear" w:color="auto" w:fill="auto"/>
            <w:tcW w:w="9455" w:type="dxa"/>
            <w:vAlign w:val="center"/>
            <w:textDirection w:val="lrTb"/>
            <w:noWrap w:val="false"/>
          </w:tcPr>
          <w:p>
            <w:pPr>
              <w:jc w:val="both"/>
              <w:spacing w:line="360" w:lineRule="auto"/>
              <w:widowControl/>
              <w:rPr>
                <w:rFonts w:ascii="宋体" w:hAnsi="宋体" w:eastAsia="宋体" w:cs="Helvetica"/>
                <w:sz w:val="24"/>
                <w:szCs w:val="24"/>
              </w:rPr>
            </w:pPr>
            <w:r>
              <w:rPr>
                <w:rFonts w:hint="eastAsia" w:ascii="宋体" w:hAnsi="宋体" w:eastAsia="宋体" w:cs="Helvetica"/>
                <w:sz w:val="24"/>
                <w:szCs w:val="24"/>
                <w:lang w:eastAsia="zh-CN"/>
              </w:rPr>
              <w:t xml:space="preserve">（</w:t>
            </w:r>
            <w:r>
              <w:rPr>
                <w:rFonts w:hint="eastAsia" w:ascii="宋体" w:hAnsi="宋体" w:eastAsia="宋体" w:cs="Helvetica"/>
                <w:sz w:val="24"/>
                <w:szCs w:val="24"/>
                <w:lang w:val="en-US" w:eastAsia="zh-CN"/>
              </w:rPr>
              <w:t xml:space="preserve">二）</w:t>
            </w:r>
            <w:r>
              <w:rPr>
                <w:rFonts w:hint="eastAsia" w:ascii="宋体" w:hAnsi="宋体" w:eastAsia="宋体" w:cs="Helvetica"/>
                <w:sz w:val="24"/>
                <w:szCs w:val="24"/>
              </w:rPr>
              <w:t xml:space="preserve">空调电力系统</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动力配电箱01APF2改造</w:t>
            </w:r>
            <w:r/>
          </w:p>
        </w:tc>
        <w:tc>
          <w:tcPr>
            <w:shd w:val="clear" w:color="auto" w:fill="auto"/>
            <w:tcW w:w="4069" w:type="dxa"/>
            <w:vAlign w:val="center"/>
            <w:textDirection w:val="lrTb"/>
            <w:noWrap w:val="false"/>
          </w:tcPr>
          <w:p>
            <w:pPr>
              <w:numPr>
                <w:ilvl w:val="0"/>
                <w:numId w:val="5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非标箱</w:t>
            </w:r>
            <w:r/>
          </w:p>
          <w:p>
            <w:pPr>
              <w:numPr>
                <w:ilvl w:val="0"/>
                <w:numId w:val="5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规格：Pe=20.0KW </w:t>
            </w:r>
            <w:r/>
          </w:p>
          <w:p>
            <w:pPr>
              <w:numPr>
                <w:ilvl w:val="0"/>
                <w:numId w:val="5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接线端子材质、规格：无端子外部接线2.5mm2、4mm2 </w:t>
            </w:r>
            <w:r/>
          </w:p>
          <w:p>
            <w:pPr>
              <w:numPr>
                <w:ilvl w:val="0"/>
                <w:numId w:val="5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安装方式：挂墙明装 </w:t>
            </w:r>
            <w:r/>
          </w:p>
          <w:p>
            <w:pPr>
              <w:numPr>
                <w:ilvl w:val="0"/>
                <w:numId w:val="5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含箱内所有不可用元器件的拆除及新元器件，具体组成详见图纸</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空调配电箱03AFK1</w:t>
            </w:r>
            <w:r/>
          </w:p>
        </w:tc>
        <w:tc>
          <w:tcPr>
            <w:shd w:val="clear" w:color="auto" w:fill="auto"/>
            <w:tcW w:w="4069" w:type="dxa"/>
            <w:vAlign w:val="center"/>
            <w:textDirection w:val="lrTb"/>
            <w:noWrap w:val="false"/>
          </w:tcPr>
          <w:p>
            <w:pPr>
              <w:numPr>
                <w:ilvl w:val="0"/>
                <w:numId w:val="5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非标箱</w:t>
            </w:r>
            <w:r/>
          </w:p>
          <w:p>
            <w:pPr>
              <w:numPr>
                <w:ilvl w:val="0"/>
                <w:numId w:val="5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规格：Pe=125KW </w:t>
            </w:r>
            <w:r/>
          </w:p>
          <w:p>
            <w:pPr>
              <w:numPr>
                <w:ilvl w:val="0"/>
                <w:numId w:val="5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接线端子材质、规格：无端子外部接线4mm2 </w:t>
            </w:r>
            <w:r/>
          </w:p>
          <w:p>
            <w:pPr>
              <w:numPr>
                <w:ilvl w:val="0"/>
                <w:numId w:val="5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安装方式：落地安装，含基础</w:t>
            </w:r>
            <w:r/>
          </w:p>
          <w:p>
            <w:pPr>
              <w:numPr>
                <w:ilvl w:val="0"/>
                <w:numId w:val="5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含箱内所元器件，具体组成详见图纸</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空调配电箱03AFK2</w:t>
            </w:r>
            <w:r/>
          </w:p>
        </w:tc>
        <w:tc>
          <w:tcPr>
            <w:shd w:val="clear" w:color="auto" w:fill="auto"/>
            <w:tcW w:w="4069" w:type="dxa"/>
            <w:vAlign w:val="center"/>
            <w:textDirection w:val="lrTb"/>
            <w:noWrap w:val="false"/>
          </w:tcPr>
          <w:p>
            <w:pPr>
              <w:numPr>
                <w:ilvl w:val="0"/>
                <w:numId w:val="5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非标箱 </w:t>
            </w:r>
            <w:r/>
          </w:p>
          <w:p>
            <w:pPr>
              <w:numPr>
                <w:ilvl w:val="0"/>
                <w:numId w:val="5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规格：Pe=135KW </w:t>
            </w:r>
            <w:r/>
          </w:p>
          <w:p>
            <w:pPr>
              <w:numPr>
                <w:ilvl w:val="0"/>
                <w:numId w:val="5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接线端子材质、规格：无端子外部接线2.5mm2、4mm2 </w:t>
            </w:r>
            <w:r/>
          </w:p>
          <w:p>
            <w:pPr>
              <w:numPr>
                <w:ilvl w:val="0"/>
                <w:numId w:val="5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安装方式：落地安装，含基础 </w:t>
            </w:r>
            <w:r/>
          </w:p>
          <w:p>
            <w:pPr>
              <w:numPr>
                <w:ilvl w:val="0"/>
                <w:numId w:val="5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含箱内所元器件，具体组成详见图纸</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电力电缆1</w:t>
            </w:r>
            <w:r/>
          </w:p>
        </w:tc>
        <w:tc>
          <w:tcPr>
            <w:shd w:val="clear" w:color="auto" w:fill="auto"/>
            <w:tcW w:w="4069" w:type="dxa"/>
            <w:vAlign w:val="center"/>
            <w:textDirection w:val="lrTb"/>
            <w:noWrap w:val="false"/>
          </w:tcPr>
          <w:p>
            <w:pPr>
              <w:numPr>
                <w:ilvl w:val="0"/>
                <w:numId w:val="5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规格：WDZC-YJY-3*120+2*70mm2 </w:t>
            </w:r>
            <w:r/>
          </w:p>
          <w:p>
            <w:pPr>
              <w:numPr>
                <w:ilvl w:val="0"/>
                <w:numId w:val="5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5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w:t>
            </w:r>
            <w:r/>
          </w:p>
          <w:p>
            <w:pPr>
              <w:numPr>
                <w:ilvl w:val="0"/>
                <w:numId w:val="5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 </w:t>
            </w:r>
            <w:r/>
          </w:p>
          <w:p>
            <w:pPr>
              <w:numPr>
                <w:ilvl w:val="0"/>
                <w:numId w:val="5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此电缆为原空调配电箱进线，电缆及电缆头利旧</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电力电缆2</w:t>
            </w:r>
            <w:r/>
          </w:p>
        </w:tc>
        <w:tc>
          <w:tcPr>
            <w:shd w:val="clear" w:color="auto" w:fill="auto"/>
            <w:tcW w:w="4069" w:type="dxa"/>
            <w:vAlign w:val="center"/>
            <w:textDirection w:val="lrTb"/>
            <w:noWrap w:val="false"/>
          </w:tcPr>
          <w:p>
            <w:pPr>
              <w:numPr>
                <w:ilvl w:val="0"/>
                <w:numId w:val="5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规格：WDZC-YJY-3*150+2*70mm2 </w:t>
            </w:r>
            <w:r/>
          </w:p>
          <w:p>
            <w:pPr>
              <w:numPr>
                <w:ilvl w:val="0"/>
                <w:numId w:val="5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5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5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103.5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电力电缆3</w:t>
            </w:r>
            <w:r/>
          </w:p>
        </w:tc>
        <w:tc>
          <w:tcPr>
            <w:shd w:val="clear" w:color="auto" w:fill="auto"/>
            <w:tcW w:w="4069" w:type="dxa"/>
            <w:vAlign w:val="center"/>
            <w:textDirection w:val="lrTb"/>
            <w:noWrap w:val="false"/>
          </w:tcPr>
          <w:p>
            <w:pPr>
              <w:numPr>
                <w:ilvl w:val="0"/>
                <w:numId w:val="5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规格：WDZC-YJY-4*25+16mm2 </w:t>
            </w:r>
            <w:r/>
          </w:p>
          <w:p>
            <w:pPr>
              <w:numPr>
                <w:ilvl w:val="0"/>
                <w:numId w:val="5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w:t>
            </w:r>
            <w:r/>
          </w:p>
          <w:p>
            <w:pPr>
              <w:numPr>
                <w:ilvl w:val="0"/>
                <w:numId w:val="5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5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电力电缆4</w:t>
            </w:r>
            <w:r/>
          </w:p>
        </w:tc>
        <w:tc>
          <w:tcPr>
            <w:shd w:val="clear" w:color="auto" w:fill="auto"/>
            <w:tcW w:w="4069" w:type="dxa"/>
            <w:vAlign w:val="center"/>
            <w:textDirection w:val="lrTb"/>
            <w:noWrap w:val="false"/>
          </w:tcPr>
          <w:p>
            <w:pPr>
              <w:numPr>
                <w:ilvl w:val="0"/>
                <w:numId w:val="5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规格：WDZC-YJY-4*16+16mm2 </w:t>
            </w:r>
            <w:r/>
          </w:p>
          <w:p>
            <w:pPr>
              <w:numPr>
                <w:ilvl w:val="0"/>
                <w:numId w:val="5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5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5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电力电缆5</w:t>
            </w:r>
            <w:r/>
          </w:p>
        </w:tc>
        <w:tc>
          <w:tcPr>
            <w:shd w:val="clear" w:color="auto" w:fill="auto"/>
            <w:tcW w:w="4069" w:type="dxa"/>
            <w:vAlign w:val="center"/>
            <w:textDirection w:val="lrTb"/>
            <w:noWrap w:val="false"/>
          </w:tcPr>
          <w:p>
            <w:pPr>
              <w:numPr>
                <w:ilvl w:val="0"/>
                <w:numId w:val="5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规格：WDZC-YJY-4*10+10mm2 </w:t>
            </w:r>
            <w:r/>
          </w:p>
          <w:p>
            <w:pPr>
              <w:numPr>
                <w:ilvl w:val="0"/>
                <w:numId w:val="5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5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5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176.5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电力电缆头1</w:t>
            </w:r>
            <w:r/>
          </w:p>
        </w:tc>
        <w:tc>
          <w:tcPr>
            <w:shd w:val="clear" w:color="auto" w:fill="auto"/>
            <w:tcW w:w="4069" w:type="dxa"/>
            <w:vAlign w:val="center"/>
            <w:textDirection w:val="lrTb"/>
            <w:noWrap w:val="false"/>
          </w:tcPr>
          <w:p>
            <w:pPr>
              <w:numPr>
                <w:ilvl w:val="0"/>
                <w:numId w:val="6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规格：240mm2以下</w:t>
            </w:r>
            <w:r/>
          </w:p>
          <w:p>
            <w:pPr>
              <w:numPr>
                <w:ilvl w:val="0"/>
                <w:numId w:val="6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安装部位：户内 </w:t>
            </w:r>
            <w:r/>
          </w:p>
          <w:p>
            <w:pPr>
              <w:numPr>
                <w:ilvl w:val="0"/>
                <w:numId w:val="6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电力电缆头2</w:t>
            </w:r>
            <w:r/>
          </w:p>
        </w:tc>
        <w:tc>
          <w:tcPr>
            <w:shd w:val="clear" w:color="auto" w:fill="auto"/>
            <w:tcW w:w="4069" w:type="dxa"/>
            <w:vAlign w:val="center"/>
            <w:textDirection w:val="lrTb"/>
            <w:noWrap w:val="false"/>
          </w:tcPr>
          <w:p>
            <w:pPr>
              <w:numPr>
                <w:ilvl w:val="0"/>
                <w:numId w:val="6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规格：35mm2以下</w:t>
            </w:r>
            <w:r/>
          </w:p>
          <w:p>
            <w:pPr>
              <w:numPr>
                <w:ilvl w:val="0"/>
                <w:numId w:val="6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安装部位：户内 </w:t>
            </w:r>
            <w:r/>
          </w:p>
          <w:p>
            <w:pPr>
              <w:numPr>
                <w:ilvl w:val="0"/>
                <w:numId w:val="6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电力电缆头3</w:t>
            </w:r>
            <w:r/>
          </w:p>
        </w:tc>
        <w:tc>
          <w:tcPr>
            <w:shd w:val="clear" w:color="auto" w:fill="auto"/>
            <w:tcW w:w="4069" w:type="dxa"/>
            <w:vAlign w:val="center"/>
            <w:textDirection w:val="lrTb"/>
            <w:noWrap w:val="false"/>
          </w:tcPr>
          <w:p>
            <w:pPr>
              <w:numPr>
                <w:ilvl w:val="0"/>
                <w:numId w:val="6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规格：16mm2以下</w:t>
            </w:r>
            <w:r/>
          </w:p>
          <w:p>
            <w:pPr>
              <w:numPr>
                <w:ilvl w:val="0"/>
                <w:numId w:val="6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安装部位：户内 </w:t>
            </w:r>
            <w:r/>
          </w:p>
          <w:p>
            <w:pPr>
              <w:numPr>
                <w:ilvl w:val="0"/>
                <w:numId w:val="6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电气配管1</w:t>
            </w:r>
            <w:r/>
          </w:p>
        </w:tc>
        <w:tc>
          <w:tcPr>
            <w:shd w:val="clear" w:color="auto" w:fill="auto"/>
            <w:tcW w:w="4069" w:type="dxa"/>
            <w:vAlign w:val="center"/>
            <w:textDirection w:val="lrTb"/>
            <w:noWrap w:val="false"/>
          </w:tcPr>
          <w:p>
            <w:pPr>
              <w:numPr>
                <w:ilvl w:val="0"/>
                <w:numId w:val="6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材质：焊接钢管 </w:t>
            </w:r>
            <w:r/>
          </w:p>
          <w:p>
            <w:pPr>
              <w:numPr>
                <w:ilvl w:val="0"/>
                <w:numId w:val="6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规格：SC80 </w:t>
            </w:r>
            <w:r/>
          </w:p>
          <w:p>
            <w:pPr>
              <w:numPr>
                <w:ilvl w:val="0"/>
                <w:numId w:val="6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配置形式：砖、混凝土结构明配</w:t>
            </w:r>
            <w:r/>
          </w:p>
          <w:p>
            <w:pPr>
              <w:numPr>
                <w:ilvl w:val="0"/>
                <w:numId w:val="6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w:t>
            </w:r>
            <w:r/>
          </w:p>
          <w:p>
            <w:pPr>
              <w:numPr>
                <w:ilvl w:val="0"/>
                <w:numId w:val="6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含开洞、补洞、修复费用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电气配管2</w:t>
            </w:r>
            <w:r/>
          </w:p>
        </w:tc>
        <w:tc>
          <w:tcPr>
            <w:shd w:val="clear" w:color="auto" w:fill="auto"/>
            <w:tcW w:w="4069" w:type="dxa"/>
            <w:vAlign w:val="center"/>
            <w:textDirection w:val="lrTb"/>
            <w:noWrap w:val="false"/>
          </w:tcPr>
          <w:p>
            <w:pPr>
              <w:numPr>
                <w:ilvl w:val="0"/>
                <w:numId w:val="6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材质：焊接钢管</w:t>
            </w:r>
            <w:r/>
          </w:p>
          <w:p>
            <w:pPr>
              <w:numPr>
                <w:ilvl w:val="0"/>
                <w:numId w:val="6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规格：SC65 </w:t>
            </w:r>
            <w:r/>
          </w:p>
          <w:p>
            <w:pPr>
              <w:numPr>
                <w:ilvl w:val="0"/>
                <w:numId w:val="6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配置形式：砖、混凝土结构明配</w:t>
            </w:r>
            <w:r/>
          </w:p>
          <w:p>
            <w:pPr>
              <w:numPr>
                <w:ilvl w:val="0"/>
                <w:numId w:val="6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w:t>
            </w:r>
            <w:r/>
          </w:p>
          <w:p>
            <w:pPr>
              <w:numPr>
                <w:ilvl w:val="0"/>
                <w:numId w:val="6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含开洞、补洞、修复费用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电气配管3</w:t>
            </w:r>
            <w:r/>
          </w:p>
        </w:tc>
        <w:tc>
          <w:tcPr>
            <w:shd w:val="clear" w:color="auto" w:fill="auto"/>
            <w:tcW w:w="4069" w:type="dxa"/>
            <w:vAlign w:val="center"/>
            <w:textDirection w:val="lrTb"/>
            <w:noWrap w:val="false"/>
          </w:tcPr>
          <w:p>
            <w:pPr>
              <w:numPr>
                <w:ilvl w:val="0"/>
                <w:numId w:val="6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材质：焊接钢管 </w:t>
            </w:r>
            <w:r/>
          </w:p>
          <w:p>
            <w:pPr>
              <w:numPr>
                <w:ilvl w:val="0"/>
                <w:numId w:val="6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规格：SC50 </w:t>
            </w:r>
            <w:r/>
          </w:p>
          <w:p>
            <w:pPr>
              <w:numPr>
                <w:ilvl w:val="0"/>
                <w:numId w:val="6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配置形式：砖、混凝土结构明配 </w:t>
            </w:r>
            <w:r/>
          </w:p>
          <w:p>
            <w:pPr>
              <w:numPr>
                <w:ilvl w:val="0"/>
                <w:numId w:val="6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w:t>
            </w:r>
            <w:r/>
          </w:p>
          <w:p>
            <w:pPr>
              <w:numPr>
                <w:ilvl w:val="0"/>
                <w:numId w:val="6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含开洞、补洞、修复费用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118.85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电气配管4</w:t>
            </w:r>
            <w:r/>
          </w:p>
        </w:tc>
        <w:tc>
          <w:tcPr>
            <w:shd w:val="clear" w:color="auto" w:fill="auto"/>
            <w:tcW w:w="4069" w:type="dxa"/>
            <w:vAlign w:val="center"/>
            <w:textDirection w:val="lrTb"/>
            <w:noWrap w:val="false"/>
          </w:tcPr>
          <w:p>
            <w:pPr>
              <w:numPr>
                <w:ilvl w:val="0"/>
                <w:numId w:val="6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材质：焊接钢管</w:t>
            </w:r>
            <w:r/>
          </w:p>
          <w:p>
            <w:pPr>
              <w:numPr>
                <w:ilvl w:val="0"/>
                <w:numId w:val="6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规格：SC25</w:t>
            </w:r>
            <w:r/>
          </w:p>
          <w:p>
            <w:pPr>
              <w:numPr>
                <w:ilvl w:val="0"/>
                <w:numId w:val="6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配置形式：砖、混凝土结构明配</w:t>
            </w:r>
            <w:r/>
          </w:p>
          <w:p>
            <w:pPr>
              <w:numPr>
                <w:ilvl w:val="0"/>
                <w:numId w:val="6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 </w:t>
            </w:r>
            <w:r/>
          </w:p>
          <w:p>
            <w:pPr>
              <w:numPr>
                <w:ilvl w:val="0"/>
                <w:numId w:val="6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含开洞、补洞、修复费用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34.5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电气配管5</w:t>
            </w:r>
            <w:r/>
          </w:p>
        </w:tc>
        <w:tc>
          <w:tcPr>
            <w:shd w:val="clear" w:color="auto" w:fill="auto"/>
            <w:tcW w:w="4069" w:type="dxa"/>
            <w:vAlign w:val="center"/>
            <w:textDirection w:val="lrTb"/>
            <w:noWrap w:val="false"/>
          </w:tcPr>
          <w:p>
            <w:pPr>
              <w:numPr>
                <w:ilvl w:val="0"/>
                <w:numId w:val="6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材质：紧定式镀锌电线管-JDG </w:t>
            </w:r>
            <w:r/>
          </w:p>
          <w:p>
            <w:pPr>
              <w:numPr>
                <w:ilvl w:val="0"/>
                <w:numId w:val="6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规格：DN25mm </w:t>
            </w:r>
            <w:r/>
          </w:p>
          <w:p>
            <w:pPr>
              <w:numPr>
                <w:ilvl w:val="0"/>
                <w:numId w:val="6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配置形式：吊顶内配管 </w:t>
            </w:r>
            <w:r/>
          </w:p>
          <w:p>
            <w:pPr>
              <w:numPr>
                <w:ilvl w:val="0"/>
                <w:numId w:val="6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w:t>
            </w:r>
            <w:r/>
          </w:p>
          <w:p>
            <w:pPr>
              <w:numPr>
                <w:ilvl w:val="0"/>
                <w:numId w:val="6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227.15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电气配管6</w:t>
            </w:r>
            <w:r/>
          </w:p>
        </w:tc>
        <w:tc>
          <w:tcPr>
            <w:shd w:val="clear" w:color="auto" w:fill="auto"/>
            <w:tcW w:w="4069" w:type="dxa"/>
            <w:vAlign w:val="center"/>
            <w:textDirection w:val="lrTb"/>
            <w:noWrap w:val="false"/>
          </w:tcPr>
          <w:p>
            <w:pPr>
              <w:numPr>
                <w:ilvl w:val="0"/>
                <w:numId w:val="6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材质：紧定式镀锌电线管-JDG </w:t>
            </w:r>
            <w:r/>
          </w:p>
          <w:p>
            <w:pPr>
              <w:numPr>
                <w:ilvl w:val="0"/>
                <w:numId w:val="6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规格：DN25mm </w:t>
            </w:r>
            <w:r/>
          </w:p>
          <w:p>
            <w:pPr>
              <w:numPr>
                <w:ilvl w:val="0"/>
                <w:numId w:val="6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配置形式：砖、混凝土结构暗配 </w:t>
            </w:r>
            <w:r/>
          </w:p>
          <w:p>
            <w:pPr>
              <w:numPr>
                <w:ilvl w:val="0"/>
                <w:numId w:val="6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w:t>
            </w:r>
            <w:r/>
          </w:p>
          <w:p>
            <w:pPr>
              <w:numPr>
                <w:ilvl w:val="0"/>
                <w:numId w:val="6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含开槽、开洞、补槽、补洞、修复费用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17.15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电气配管7</w:t>
            </w:r>
            <w:r/>
          </w:p>
        </w:tc>
        <w:tc>
          <w:tcPr>
            <w:shd w:val="clear" w:color="auto" w:fill="auto"/>
            <w:tcW w:w="4069" w:type="dxa"/>
            <w:vAlign w:val="center"/>
            <w:textDirection w:val="lrTb"/>
            <w:noWrap w:val="false"/>
          </w:tcPr>
          <w:p>
            <w:pPr>
              <w:numPr>
                <w:ilvl w:val="0"/>
                <w:numId w:val="6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材质：紧定式镀锌电线管-JDG </w:t>
            </w:r>
            <w:r/>
          </w:p>
          <w:p>
            <w:pPr>
              <w:numPr>
                <w:ilvl w:val="0"/>
                <w:numId w:val="6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规格：DN20mm </w:t>
            </w:r>
            <w:r/>
          </w:p>
          <w:p>
            <w:pPr>
              <w:numPr>
                <w:ilvl w:val="0"/>
                <w:numId w:val="6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配置形式：砖、混凝土结构暗配 </w:t>
            </w:r>
            <w:r/>
          </w:p>
          <w:p>
            <w:pPr>
              <w:numPr>
                <w:ilvl w:val="0"/>
                <w:numId w:val="6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接地要求：根据图纸要求可靠接地 </w:t>
            </w:r>
            <w:r/>
          </w:p>
          <w:p>
            <w:pPr>
              <w:numPr>
                <w:ilvl w:val="0"/>
                <w:numId w:val="6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含开槽、开洞、补槽、补洞、修复费用</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515.8</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管内穿线1</w:t>
            </w:r>
            <w:r/>
          </w:p>
        </w:tc>
        <w:tc>
          <w:tcPr>
            <w:shd w:val="clear" w:color="auto" w:fill="auto"/>
            <w:tcW w:w="4069" w:type="dxa"/>
            <w:vAlign w:val="center"/>
            <w:textDirection w:val="lrTb"/>
            <w:noWrap w:val="false"/>
          </w:tcPr>
          <w:p>
            <w:pPr>
              <w:numPr>
                <w:ilvl w:val="0"/>
                <w:numId w:val="7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 </w:t>
            </w:r>
            <w:r/>
          </w:p>
          <w:p>
            <w:pPr>
              <w:numPr>
                <w:ilvl w:val="0"/>
                <w:numId w:val="7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规格：WDZC-BYJ-1.5 </w:t>
            </w:r>
            <w:r/>
          </w:p>
          <w:p>
            <w:pPr>
              <w:numPr>
                <w:ilvl w:val="0"/>
                <w:numId w:val="7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管内穿线2</w:t>
            </w:r>
            <w:r/>
          </w:p>
        </w:tc>
        <w:tc>
          <w:tcPr>
            <w:shd w:val="clear" w:color="auto" w:fill="auto"/>
            <w:tcW w:w="4069" w:type="dxa"/>
            <w:vAlign w:val="center"/>
            <w:textDirection w:val="lrTb"/>
            <w:noWrap w:val="false"/>
          </w:tcPr>
          <w:p>
            <w:pPr>
              <w:numPr>
                <w:ilvl w:val="0"/>
                <w:numId w:val="7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 </w:t>
            </w:r>
            <w:r/>
          </w:p>
          <w:p>
            <w:pPr>
              <w:numPr>
                <w:ilvl w:val="0"/>
                <w:numId w:val="7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规格：WDZC-BYJ-2.5mm2 </w:t>
            </w:r>
            <w:r/>
          </w:p>
          <w:p>
            <w:pPr>
              <w:numPr>
                <w:ilvl w:val="0"/>
                <w:numId w:val="7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 </w:t>
            </w:r>
            <w:r/>
          </w:p>
          <w:p>
            <w:pPr>
              <w:numPr>
                <w:ilvl w:val="0"/>
                <w:numId w:val="7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1608.72</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管内穿线3</w:t>
            </w:r>
            <w:r/>
          </w:p>
        </w:tc>
        <w:tc>
          <w:tcPr>
            <w:shd w:val="clear" w:color="auto" w:fill="auto"/>
            <w:tcW w:w="4069" w:type="dxa"/>
            <w:vAlign w:val="center"/>
            <w:textDirection w:val="lrTb"/>
            <w:noWrap w:val="false"/>
          </w:tcPr>
          <w:p>
            <w:pPr>
              <w:numPr>
                <w:ilvl w:val="0"/>
                <w:numId w:val="7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 </w:t>
            </w:r>
            <w:r/>
          </w:p>
          <w:p>
            <w:pPr>
              <w:numPr>
                <w:ilvl w:val="0"/>
                <w:numId w:val="7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规格：WDZC-BYJ-2.5mm2 </w:t>
            </w:r>
            <w:r/>
          </w:p>
          <w:p>
            <w:pPr>
              <w:numPr>
                <w:ilvl w:val="0"/>
                <w:numId w:val="7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 </w:t>
            </w:r>
            <w:r/>
          </w:p>
          <w:p>
            <w:pPr>
              <w:numPr>
                <w:ilvl w:val="0"/>
                <w:numId w:val="7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 </w:t>
            </w:r>
            <w:r/>
          </w:p>
          <w:p>
            <w:pPr>
              <w:numPr>
                <w:ilvl w:val="0"/>
                <w:numId w:val="7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553</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管内穿线4</w:t>
            </w:r>
            <w:r/>
          </w:p>
        </w:tc>
        <w:tc>
          <w:tcPr>
            <w:shd w:val="clear" w:color="auto" w:fill="auto"/>
            <w:tcW w:w="4069" w:type="dxa"/>
            <w:vAlign w:val="center"/>
            <w:textDirection w:val="lrTb"/>
            <w:noWrap w:val="false"/>
          </w:tcPr>
          <w:p>
            <w:pPr>
              <w:numPr>
                <w:ilvl w:val="0"/>
                <w:numId w:val="73"/>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w:t>
            </w:r>
            <w:r/>
          </w:p>
          <w:p>
            <w:pPr>
              <w:numPr>
                <w:ilvl w:val="0"/>
                <w:numId w:val="7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规格：WDZC-BYJ-4mm2</w:t>
            </w:r>
            <w:r/>
          </w:p>
          <w:p>
            <w:pPr>
              <w:numPr>
                <w:ilvl w:val="0"/>
                <w:numId w:val="7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w:t>
            </w:r>
            <w:r/>
          </w:p>
          <w:p>
            <w:pPr>
              <w:numPr>
                <w:ilvl w:val="0"/>
                <w:numId w:val="73"/>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338.55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管内穿线5</w:t>
            </w:r>
            <w:r/>
          </w:p>
        </w:tc>
        <w:tc>
          <w:tcPr>
            <w:shd w:val="clear" w:color="auto" w:fill="auto"/>
            <w:tcW w:w="4069" w:type="dxa"/>
            <w:vAlign w:val="center"/>
            <w:textDirection w:val="lrTb"/>
            <w:noWrap w:val="false"/>
          </w:tcPr>
          <w:p>
            <w:pPr>
              <w:numPr>
                <w:ilvl w:val="0"/>
                <w:numId w:val="74"/>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 </w:t>
            </w:r>
            <w:r/>
          </w:p>
          <w:p>
            <w:pPr>
              <w:numPr>
                <w:ilvl w:val="0"/>
                <w:numId w:val="7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规格：WDZC-BYJ-4mm2 </w:t>
            </w:r>
            <w:r/>
          </w:p>
          <w:p>
            <w:pPr>
              <w:numPr>
                <w:ilvl w:val="0"/>
                <w:numId w:val="7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 </w:t>
            </w:r>
            <w:r/>
          </w:p>
          <w:p>
            <w:pPr>
              <w:numPr>
                <w:ilvl w:val="0"/>
                <w:numId w:val="7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 </w:t>
            </w:r>
            <w:r/>
          </w:p>
          <w:p>
            <w:pPr>
              <w:numPr>
                <w:ilvl w:val="0"/>
                <w:numId w:val="74"/>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计取操作高度增加费</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417.75</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keepLines w:val="0"/>
              <w:keepNext w:val="0"/>
              <w:widowControl/>
              <w:rPr>
                <w:rFonts w:hint="eastAsia" w:ascii="宋体" w:hAnsi="宋体" w:eastAsia="宋体" w:cs="Helvetic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W w:w="1666" w:type="dxa"/>
            <w:vAlign w:val="center"/>
            <w:textDirection w:val="lrTb"/>
            <w:noWrap w:val="false"/>
          </w:tcPr>
          <w:p>
            <w:pPr>
              <w:jc w:val="center"/>
              <w:keepLines w:val="0"/>
              <w:keepNext w:val="0"/>
              <w:widowControl/>
              <w:rPr>
                <w:rFonts w:hint="default" w:ascii="宋体" w:hAnsi="宋体" w:eastAsia="宋体" w:cs="Helvetica"/>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管内穿线6</w:t>
            </w:r>
            <w:r/>
          </w:p>
        </w:tc>
        <w:tc>
          <w:tcPr>
            <w:shd w:val="clear" w:color="auto" w:fill="auto"/>
            <w:tcW w:w="4069" w:type="dxa"/>
            <w:vAlign w:val="center"/>
            <w:textDirection w:val="lrTb"/>
            <w:noWrap w:val="false"/>
          </w:tcPr>
          <w:p>
            <w:pPr>
              <w:numPr>
                <w:ilvl w:val="0"/>
                <w:numId w:val="75"/>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配线形式：空调线路 </w:t>
            </w:r>
            <w:r/>
          </w:p>
          <w:p>
            <w:pPr>
              <w:numPr>
                <w:ilvl w:val="0"/>
                <w:numId w:val="7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规格：RVS-2*1.0mm2  </w:t>
            </w:r>
            <w:r/>
          </w:p>
          <w:p>
            <w:pPr>
              <w:numPr>
                <w:ilvl w:val="0"/>
                <w:numId w:val="7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 </w:t>
            </w:r>
            <w:r/>
          </w:p>
          <w:p>
            <w:pPr>
              <w:numPr>
                <w:ilvl w:val="0"/>
                <w:numId w:val="75"/>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配线部位：暗敷</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71</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空调线控开关</w:t>
            </w:r>
            <w:r/>
          </w:p>
        </w:tc>
        <w:tc>
          <w:tcPr>
            <w:shd w:val="clear" w:color="auto" w:fill="auto"/>
            <w:tcW w:w="4069" w:type="dxa"/>
            <w:vAlign w:val="center"/>
            <w:textDirection w:val="lrTb"/>
            <w:noWrap w:val="false"/>
          </w:tcPr>
          <w:p>
            <w:pPr>
              <w:numPr>
                <w:ilvl w:val="0"/>
                <w:numId w:val="76"/>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安装方式：1.3m暗装 </w:t>
            </w:r>
            <w:r/>
          </w:p>
          <w:p>
            <w:pPr>
              <w:numPr>
                <w:ilvl w:val="0"/>
                <w:numId w:val="76"/>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空调系统自带</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72</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壁挂空调插座（带开关）</w:t>
            </w:r>
            <w:r/>
          </w:p>
        </w:tc>
        <w:tc>
          <w:tcPr>
            <w:shd w:val="clear" w:color="auto" w:fill="auto"/>
            <w:tcW w:w="4069" w:type="dxa"/>
            <w:vAlign w:val="center"/>
            <w:textDirection w:val="lrTb"/>
            <w:noWrap w:val="false"/>
          </w:tcPr>
          <w:p>
            <w:pPr>
              <w:numPr>
                <w:ilvl w:val="0"/>
                <w:numId w:val="77"/>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规格：V86系列 16A 安全型  </w:t>
            </w:r>
            <w:r/>
          </w:p>
          <w:p>
            <w:pPr>
              <w:numPr>
                <w:ilvl w:val="0"/>
                <w:numId w:val="77"/>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安装方式：1.8m暗装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73</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二氧化碳传感器</w:t>
            </w:r>
            <w:r/>
          </w:p>
        </w:tc>
        <w:tc>
          <w:tcPr>
            <w:shd w:val="clear" w:color="auto" w:fill="auto"/>
            <w:tcW w:w="4069" w:type="dxa"/>
            <w:vAlign w:val="center"/>
            <w:textDirection w:val="lrTb"/>
            <w:noWrap w:val="false"/>
          </w:tcPr>
          <w:p>
            <w:p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1、详见图纸</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74</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开关插座盒</w:t>
            </w:r>
            <w:r/>
          </w:p>
        </w:tc>
        <w:tc>
          <w:tcPr>
            <w:shd w:val="clear" w:color="auto" w:fill="auto"/>
            <w:tcW w:w="4069" w:type="dxa"/>
            <w:vAlign w:val="center"/>
            <w:textDirection w:val="lrTb"/>
            <w:noWrap w:val="false"/>
          </w:tcPr>
          <w:p>
            <w:pPr>
              <w:numPr>
                <w:ilvl w:val="0"/>
                <w:numId w:val="78"/>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材质：铁</w:t>
            </w:r>
            <w:r/>
          </w:p>
          <w:p>
            <w:pPr>
              <w:numPr>
                <w:ilvl w:val="0"/>
                <w:numId w:val="7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规格：86型 </w:t>
            </w:r>
            <w:r/>
          </w:p>
          <w:p>
            <w:pPr>
              <w:numPr>
                <w:ilvl w:val="0"/>
                <w:numId w:val="78"/>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安装形式：暗装</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1148"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pStyle w:val="1039"/>
        <w:ind w:left="0" w:firstLine="482"/>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本项目执行《财政部 发展改革委 生态环境部 市场监管总局关于调整优化节能产品、环境标志产品政府采购执行机制的通知》（财库〔2019〕9号）文。本次采购的产品已列入节能产品实施品目清单，各投标人按采购文件要求提供国家确定的认证机构出具的、处于有效期之内的相应证明材料，否则为无效标。</w:t>
      </w:r>
      <w:r/>
    </w:p>
    <w:p>
      <w:pPr>
        <w:pStyle w:val="1039"/>
        <w:ind w:left="0" w:firstLine="480"/>
        <w:keepLines w:val="0"/>
        <w:keepNext w:val="0"/>
        <w:pageBreakBefore w:val="0"/>
        <w:spacing w:line="500" w:lineRule="exact"/>
        <w:widowControl w:val="off"/>
        <w:rPr>
          <w:rFonts w:hint="eastAsia" w:ascii="宋体" w:hAnsi="宋体" w:eastAsia="宋体" w:cs="宋体"/>
          <w:b/>
          <w:bCs/>
          <w:color w:val="000000"/>
          <w:sz w:val="24"/>
          <w:szCs w:val="24"/>
        </w:rPr>
      </w:pPr>
      <w:r>
        <w:rPr>
          <w:rFonts w:hint="eastAsia" w:ascii="宋体" w:hAnsi="宋体" w:eastAsia="宋体" w:cs="宋体"/>
          <w:b w:val="0"/>
          <w:bCs w:val="0"/>
          <w:i/>
          <w:iCs/>
          <w:color w:val="000000"/>
          <w:sz w:val="24"/>
          <w:szCs w:val="24"/>
          <w:highlight w:val="none"/>
          <w:u w:val="single"/>
          <w:lang w:val="en-US" w:eastAsia="zh-CN" w:bidi="ar"/>
        </w:rPr>
        <w:t xml:space="preserve">投标文件中须提供所投空调机节能产品认证证书（如有附录须提供）扫描件并加盖投标人公章。</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highlight w:val="none"/>
        </w:rPr>
        <w:t xml:space="preserve">、辅材、配件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辅材配件包括但不限于钢制支架、制冷剂、铜管、保温棉、电源保护开关等，因设备安装增加的人工、辅材、配件费等费用自理，包含在报价中，中标后不再追加相关费用。铜管壁厚、直径等参数符合规范设计要求。内机上配备安全防护措施（例如安全防护网等）。</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p>
    <w:p>
      <w:pPr>
        <w:ind w:firstLine="482"/>
        <w:jc w:val="left"/>
        <w:spacing w:line="360" w:lineRule="auto"/>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i/>
          <w:iCs/>
          <w:color w:val="000000"/>
          <w:sz w:val="24"/>
          <w:szCs w:val="24"/>
          <w:u w:val="single"/>
          <w:lang w:val="en-US" w:eastAsia="zh-CN" w:bidi="ar"/>
        </w:rPr>
        <w:t xml:space="preserve">合同履行期限</w:t>
      </w:r>
      <w:r>
        <w:rPr>
          <w:rFonts w:ascii="宋体" w:hAnsi="宋体" w:eastAsia="宋体" w:cs="宋体"/>
          <w:b w:val="0"/>
          <w:bCs w:val="0"/>
          <w:i/>
          <w:iCs/>
          <w:color w:val="000000"/>
          <w:sz w:val="24"/>
          <w:szCs w:val="24"/>
          <w:u w:val="single"/>
          <w:lang w:val="en-US" w:eastAsia="zh-CN" w:bidi="ar"/>
        </w:rPr>
        <w:t xml:space="preserve">：</w:t>
      </w:r>
      <w:r>
        <w:rPr>
          <w:rFonts w:hint="eastAsia" w:ascii="宋体" w:hAnsi="宋体" w:eastAsia="宋体" w:cs="宋体"/>
          <w:b w:val="0"/>
          <w:bCs w:val="0"/>
          <w:i/>
          <w:iCs/>
          <w:color w:val="000000"/>
          <w:sz w:val="24"/>
          <w:szCs w:val="24"/>
          <w:u w:val="single"/>
          <w:lang w:val="en-US" w:eastAsia="zh-CN" w:bidi="ar"/>
        </w:rPr>
        <w:t xml:space="preserve">合同签订之日起 30天内完成供货及安装调试。</w:t>
      </w:r>
      <w:r/>
    </w:p>
    <w:p>
      <w:pPr>
        <w:ind w:firstLine="480"/>
        <w:jc w:val="left"/>
        <w:spacing w:line="360" w:lineRule="auto"/>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t xml:space="preserve">交货方式：现场验收。</w:t>
      </w:r>
      <w:r>
        <w:rPr>
          <w:rFonts w:hint="eastAsia"/>
          <w:bCs/>
          <w:color w:val="000000"/>
          <w:sz w:val="24"/>
        </w:rPr>
        <w:t xml:space="preserve">由中标人负责办理运输、装卸和安装、调试等，费用由中标人负责，由采购人组织验收，检验不合格或不符合质量要求，中标人除无条件退货、返工外，还应承担采购人的一切损失。</w:t>
      </w:r>
      <w:r/>
    </w:p>
    <w:p>
      <w:pPr>
        <w:ind w:firstLine="480"/>
        <w:jc w:val="left"/>
        <w:spacing w:line="360" w:lineRule="auto"/>
        <w:rPr>
          <w:rFonts w:ascii="宋体" w:hAnsi="宋体" w:eastAsia="宋体" w:cs="Times New Roman"/>
          <w:sz w:val="24"/>
          <w:szCs w:val="24"/>
        </w:rPr>
      </w:pPr>
      <w:r>
        <w:rPr>
          <w:rFonts w:ascii="宋体" w:hAnsi="宋体" w:eastAsia="宋体" w:cs="宋体"/>
          <w:color w:val="000000"/>
          <w:sz w:val="24"/>
          <w:szCs w:val="24"/>
          <w:lang w:val="en-US" w:eastAsia="zh-CN" w:bidi="ar"/>
        </w:rPr>
        <w:t xml:space="preserve">交货地点：采购人指定地点。</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p>
    <w:p>
      <w:pPr>
        <w:ind w:firstLine="480"/>
        <w:jc w:val="left"/>
        <w:spacing w:line="360" w:lineRule="auto"/>
        <w:rPr>
          <w:rFonts w:ascii="Times New Roman" w:hAnsi="Times New Roman"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中标人</w:t>
      </w:r>
      <w:r>
        <w:rPr>
          <w:rFonts w:ascii="Times New Roman" w:hAnsi="Times New Roman" w:cs="Times New Roman"/>
          <w:color w:val="000000"/>
          <w:sz w:val="24"/>
          <w:szCs w:val="24"/>
          <w:highlight w:val="none"/>
        </w:rPr>
        <w:t xml:space="preserve">负责派技术人员到现场进行安装调试</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rPr>
        <w:t xml:space="preserve">包含检查接线</w:t>
      </w:r>
      <w:r>
        <w:rPr>
          <w:rFonts w:hint="eastAsia" w:ascii="Times New Roman" w:hAnsi="Times New Roman" w:cs="Times New Roman"/>
          <w:color w:val="000000"/>
          <w:sz w:val="24"/>
          <w:szCs w:val="24"/>
          <w:highlight w:val="none"/>
          <w:lang w:val="en-US" w:eastAsia="zh-CN"/>
        </w:rPr>
        <w:t xml:space="preserve">等</w:t>
      </w:r>
      <w:r>
        <w:rPr>
          <w:rFonts w:hint="eastAsia" w:ascii="Times New Roman" w:hAnsi="Times New Roman" w:cs="Times New Roman"/>
          <w:color w:val="000000"/>
          <w:sz w:val="24"/>
          <w:szCs w:val="24"/>
          <w:highlight w:val="none"/>
          <w:lang w:eastAsia="zh-CN"/>
        </w:rPr>
        <w:t xml:space="preserve">，</w:t>
      </w:r>
      <w:r>
        <w:rPr>
          <w:rFonts w:hint="eastAsia" w:ascii="Times New Roman" w:hAnsi="Times New Roman" w:cs="Times New Roman"/>
          <w:color w:val="000000"/>
          <w:sz w:val="24"/>
          <w:szCs w:val="24"/>
          <w:highlight w:val="none"/>
        </w:rPr>
        <w:t xml:space="preserve">其他</w:t>
      </w:r>
      <w:r>
        <w:rPr>
          <w:rFonts w:hint="eastAsia" w:ascii="Times New Roman" w:hAnsi="Times New Roman" w:cs="Times New Roman"/>
          <w:color w:val="000000"/>
          <w:sz w:val="24"/>
          <w:szCs w:val="24"/>
          <w:highlight w:val="none"/>
          <w:lang w:val="en-US" w:eastAsia="zh-CN"/>
        </w:rPr>
        <w:t xml:space="preserve">未尽事宜</w:t>
      </w:r>
      <w:r>
        <w:rPr>
          <w:rFonts w:hint="eastAsia" w:ascii="Times New Roman" w:hAnsi="Times New Roman" w:cs="Times New Roman"/>
          <w:color w:val="000000"/>
          <w:sz w:val="24"/>
          <w:szCs w:val="24"/>
          <w:highlight w:val="none"/>
        </w:rPr>
        <w:t xml:space="preserve">详见</w:t>
      </w:r>
      <w:r>
        <w:rPr>
          <w:rFonts w:hint="eastAsia" w:ascii="Times New Roman" w:hAnsi="Times New Roman" w:cs="Times New Roman"/>
          <w:b/>
          <w:bCs/>
          <w:color w:val="000000"/>
          <w:sz w:val="24"/>
          <w:szCs w:val="24"/>
          <w:highlight w:val="none"/>
          <w:lang w:val="en-US" w:eastAsia="zh-CN"/>
        </w:rPr>
        <w:t xml:space="preserve">附件1</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直至验收合格；在货物运抵现场前，向采购人提供安装调试及运行的进度计划表。安装人员需自行购买意外险。</w:t>
      </w:r>
      <w:r/>
    </w:p>
    <w:tbl>
      <w:tblPr>
        <w:tblStyle w:val="1011"/>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6"/>
        <w:gridCol w:w="4069"/>
        <w:gridCol w:w="654"/>
        <w:gridCol w:w="1100"/>
        <w:gridCol w:w="1148"/>
      </w:tblGrid>
      <w:tr>
        <w:trPr>
          <w:jc w:val="center"/>
        </w:trPr>
        <w:tc>
          <w:tcPr>
            <w:gridSpan w:val="6"/>
            <w:shd w:val="clear" w:color="auto" w:fill="auto"/>
            <w:tcW w:w="945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Helvetica"/>
                <w:sz w:val="24"/>
                <w:szCs w:val="24"/>
              </w:rPr>
              <w:t xml:space="preserve">空调电气部分拆除</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75</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原空调配电箱03AFK1拆除</w:t>
            </w:r>
            <w:r/>
          </w:p>
        </w:tc>
        <w:tc>
          <w:tcPr>
            <w:shd w:val="clear" w:color="auto" w:fill="auto"/>
            <w:tcW w:w="4069" w:type="dxa"/>
            <w:vAlign w:val="center"/>
            <w:textDirection w:val="lrTb"/>
            <w:noWrap w:val="false"/>
          </w:tcPr>
          <w:p>
            <w:pPr>
              <w:numPr>
                <w:ilvl w:val="0"/>
                <w:numId w:val="79"/>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非标箱 </w:t>
            </w:r>
            <w:r/>
          </w:p>
          <w:p>
            <w:pPr>
              <w:numPr>
                <w:ilvl w:val="0"/>
                <w:numId w:val="7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规格：Pe=35KW </w:t>
            </w:r>
            <w:r/>
          </w:p>
          <w:p>
            <w:pPr>
              <w:numPr>
                <w:ilvl w:val="0"/>
                <w:numId w:val="7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安装方式：明装 </w:t>
            </w:r>
            <w:r/>
          </w:p>
          <w:p>
            <w:pPr>
              <w:numPr>
                <w:ilvl w:val="0"/>
                <w:numId w:val="79"/>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包含现场开洞、补洞、修复、垃圾清理等</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76</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原空调配电箱03AFK2拆除</w:t>
            </w:r>
            <w:r/>
          </w:p>
        </w:tc>
        <w:tc>
          <w:tcPr>
            <w:shd w:val="clear" w:color="auto" w:fill="auto"/>
            <w:tcW w:w="4069" w:type="dxa"/>
            <w:vAlign w:val="center"/>
            <w:textDirection w:val="lrTb"/>
            <w:noWrap w:val="false"/>
          </w:tcPr>
          <w:p>
            <w:pPr>
              <w:numPr>
                <w:ilvl w:val="0"/>
                <w:numId w:val="80"/>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非标箱 </w:t>
            </w:r>
            <w:r/>
          </w:p>
          <w:p>
            <w:pPr>
              <w:numPr>
                <w:ilvl w:val="0"/>
                <w:numId w:val="8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规格：Pe=83.2KW  </w:t>
            </w:r>
            <w:r/>
          </w:p>
          <w:p>
            <w:pPr>
              <w:numPr>
                <w:ilvl w:val="0"/>
                <w:numId w:val="8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安装方式：明装 </w:t>
            </w:r>
            <w:r/>
          </w:p>
          <w:p>
            <w:pPr>
              <w:numPr>
                <w:ilvl w:val="0"/>
                <w:numId w:val="80"/>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包含现场开洞、补洞、修复、垃圾清理等</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77</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电力电缆拆除</w:t>
            </w:r>
            <w:r/>
          </w:p>
        </w:tc>
        <w:tc>
          <w:tcPr>
            <w:shd w:val="clear" w:color="auto" w:fill="auto"/>
            <w:tcW w:w="4069" w:type="dxa"/>
            <w:vAlign w:val="center"/>
            <w:textDirection w:val="lrTb"/>
            <w:noWrap w:val="false"/>
          </w:tcPr>
          <w:p>
            <w:pPr>
              <w:numPr>
                <w:ilvl w:val="0"/>
                <w:numId w:val="81"/>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规格：WDZC-YJY-3*50+2*25mm2 </w:t>
            </w:r>
            <w:r/>
          </w:p>
          <w:p>
            <w:pPr>
              <w:numPr>
                <w:ilvl w:val="0"/>
                <w:numId w:val="8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8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8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 </w:t>
            </w:r>
            <w:r/>
          </w:p>
          <w:p>
            <w:pPr>
              <w:numPr>
                <w:ilvl w:val="0"/>
                <w:numId w:val="81"/>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包含软管、电缆头、垃圾清理等</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78</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电力电缆拆除</w:t>
            </w:r>
            <w:r/>
          </w:p>
        </w:tc>
        <w:tc>
          <w:tcPr>
            <w:shd w:val="clear" w:color="auto" w:fill="auto"/>
            <w:tcW w:w="4069" w:type="dxa"/>
            <w:vAlign w:val="center"/>
            <w:textDirection w:val="lrTb"/>
            <w:noWrap w:val="false"/>
          </w:tcPr>
          <w:p>
            <w:pPr>
              <w:numPr>
                <w:ilvl w:val="0"/>
                <w:numId w:val="82"/>
              </w:num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规格：WDZC-YJY-3*120+2*70mm2 </w:t>
            </w:r>
            <w:r/>
          </w:p>
          <w:p>
            <w:pPr>
              <w:numPr>
                <w:ilvl w:val="0"/>
                <w:numId w:val="8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材质：铜芯电缆 </w:t>
            </w:r>
            <w:r/>
          </w:p>
          <w:p>
            <w:pPr>
              <w:numPr>
                <w:ilvl w:val="0"/>
                <w:numId w:val="8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敷设方式、部位：管道敷设、线槽敷设 </w:t>
            </w:r>
            <w:r/>
          </w:p>
          <w:p>
            <w:pPr>
              <w:numPr>
                <w:ilvl w:val="0"/>
                <w:numId w:val="8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电压等级(kV)：1Kv以下 </w:t>
            </w:r>
            <w:r/>
          </w:p>
          <w:p>
            <w:pPr>
              <w:numPr>
                <w:ilvl w:val="0"/>
                <w:numId w:val="82"/>
              </w:num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包含软管、电缆头、垃圾清理等</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99.5</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gridSpan w:val="6"/>
            <w:shd w:val="clear" w:color="auto" w:fill="auto"/>
            <w:tcW w:w="9455" w:type="dxa"/>
            <w:textDirection w:val="lrTb"/>
            <w:noWrap w:val="false"/>
          </w:tcPr>
          <w:p>
            <w:pPr>
              <w:jc w:val="both"/>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其它</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79</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空调水工程系统调试</w:t>
            </w:r>
            <w:r/>
          </w:p>
        </w:tc>
        <w:tc>
          <w:tcPr>
            <w:shd w:val="clear" w:color="auto" w:fill="auto"/>
            <w:tcW w:w="4069" w:type="dxa"/>
            <w:vAlign w:val="center"/>
            <w:textDirection w:val="lrTb"/>
            <w:noWrap w:val="false"/>
          </w:tcPr>
          <w:p>
            <w:p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1、名称：空调水工程调试</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80</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通风工程检测、调试</w:t>
            </w:r>
            <w:r/>
          </w:p>
        </w:tc>
        <w:tc>
          <w:tcPr>
            <w:shd w:val="clear" w:color="auto" w:fill="auto"/>
            <w:tcW w:w="4069" w:type="dxa"/>
            <w:vAlign w:val="center"/>
            <w:textDirection w:val="lrTb"/>
            <w:noWrap w:val="false"/>
          </w:tcPr>
          <w:p>
            <w:pPr>
              <w:jc w:val="left"/>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1、名称：新风、通风系统调试</w:t>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818" w:type="dxa"/>
            <w:vAlign w:val="center"/>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81</w:t>
            </w:r>
            <w:r/>
          </w:p>
        </w:tc>
        <w:tc>
          <w:tcPr>
            <w:shd w:val="clear" w:color="auto" w:fill="auto"/>
            <w:tcW w:w="1666"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脚手架搭拆</w:t>
            </w:r>
            <w:r/>
          </w:p>
        </w:tc>
        <w:tc>
          <w:tcPr>
            <w:shd w:val="clear" w:color="auto" w:fill="auto"/>
            <w:tcW w:w="4069" w:type="dxa"/>
            <w:vAlign w:val="center"/>
            <w:textDirection w:val="lrTb"/>
            <w:noWrap w:val="false"/>
          </w:tcPr>
          <w:p>
            <w:pPr>
              <w:jc w:val="left"/>
              <w:rPr>
                <w:rFonts w:ascii="宋体" w:hAnsi="宋体" w:eastAsia="宋体" w:cs="Helvetica"/>
                <w:sz w:val="24"/>
                <w:szCs w:val="24"/>
              </w:rPr>
            </w:pPr>
            <w:r>
              <w:rPr>
                <w:rFonts w:ascii="宋体" w:hAnsi="宋体" w:eastAsia="宋体" w:cs="Helvetica"/>
                <w:sz w:val="24"/>
                <w:szCs w:val="24"/>
              </w:rPr>
            </w:r>
            <w:r/>
          </w:p>
        </w:tc>
        <w:tc>
          <w:tcPr>
            <w:shd w:val="clear" w:color="auto" w:fill="auto"/>
            <w:tcW w:w="654"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W w:w="1100" w:type="dxa"/>
            <w:vAlign w:val="center"/>
            <w:textDirection w:val="lrTb"/>
            <w:noWrap w:val="false"/>
          </w:tcPr>
          <w:p>
            <w:pPr>
              <w:jc w:val="center"/>
              <w:keepLines w:val="0"/>
              <w:keepNext w:val="0"/>
              <w:widowControl/>
              <w:rPr>
                <w:rFonts w:ascii="宋体" w:hAnsi="宋体" w:eastAsia="宋体" w:cs="Helvetica"/>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148"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lang w:val="en-US" w:eastAsia="zh-CN"/>
              </w:rPr>
              <w:t xml:space="preserve">工业</w:t>
            </w:r>
            <w:r/>
          </w:p>
        </w:tc>
      </w:tr>
    </w:tbl>
    <w:p>
      <w:pPr>
        <w:pStyle w:val="1012"/>
      </w:pPr>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六、国家</w:t>
      </w:r>
      <w:r>
        <w:rPr>
          <w:rFonts w:hint="eastAsia" w:ascii="Times New Roman" w:hAnsi="Times New Roman" w:eastAsia="宋体" w:cs="Times New Roman"/>
          <w:b/>
          <w:sz w:val="28"/>
          <w:szCs w:val="28"/>
          <w:highlight w:val="none"/>
        </w:rPr>
        <w:t xml:space="preserve">或行业相关规范标准</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《民用建筑供暖通风与空气调节设计规范》GB50736-2012；</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《建筑设计防火规范（2018版）》GB50016-2014；</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《通风与空调工程施工质量验收规范》GB50243-2016；</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《建筑与市政工程抗震通用规范》GB55002-2021；</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《多联机空调系统工程技术规程》JGJ174-2010；</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《消防设施通用规范》GB55036-2022；</w:t>
      </w:r>
      <w:r/>
    </w:p>
    <w:p>
      <w:pPr>
        <w:numPr>
          <w:ilvl w:val="0"/>
          <w:numId w:val="0"/>
        </w:numPr>
        <w:ind w:right="0" w:firstLine="480"/>
        <w:spacing w:before="0" w:after="0" w:line="559" w:lineRule="atLeast"/>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《建筑机电工程抗震设计规范》GB50981-2014；</w:t>
      </w:r>
      <w:r/>
    </w:p>
    <w:p>
      <w:pPr>
        <w:numPr>
          <w:ilvl w:val="0"/>
          <w:numId w:val="0"/>
        </w:numPr>
        <w:ind w:right="0" w:firstLine="480"/>
        <w:spacing w:before="0" w:after="0" w:line="559" w:lineRule="atLeast"/>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国家、行业主管部门</w:t>
      </w:r>
      <w:r>
        <w:rPr>
          <w:rFonts w:hint="eastAsia" w:ascii="宋体" w:hAnsi="宋体" w:eastAsia="宋体" w:cs="宋体"/>
          <w:b w:val="0"/>
          <w:bCs/>
          <w:color w:val="000000"/>
          <w:sz w:val="24"/>
          <w:highlight w:val="none"/>
          <w:lang w:val="en-US" w:eastAsia="zh-CN"/>
        </w:rPr>
        <w:t xml:space="preserve">颁布新规范的按最新规范执行。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、人员配备要求</w:t>
      </w:r>
      <w:r/>
    </w:p>
    <w:tbl>
      <w:tblPr>
        <w:tblStyle w:val="1011"/>
        <w:tblW w:w="4606" w:type="pct"/>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887"/>
        <w:gridCol w:w="926"/>
        <w:gridCol w:w="4306"/>
      </w:tblGrid>
      <w:tr>
        <w:trPr>
          <w:jc w:val="center"/>
          <w:tblCellSpacing w:w="0" w:type="dxa"/>
          <w:trHeight w:val="496"/>
        </w:trPr>
        <w:tc>
          <w:tcPr>
            <w:tcMar>
              <w:left w:w="108" w:type="dxa"/>
              <w:right w:w="108" w:type="dxa"/>
            </w:tcMar>
            <w:tcW w:w="741"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序号</w:t>
            </w:r>
            <w:r/>
          </w:p>
        </w:tc>
        <w:tc>
          <w:tcPr>
            <w:tcMar>
              <w:left w:w="108" w:type="dxa"/>
              <w:right w:w="108" w:type="dxa"/>
            </w:tcMar>
            <w:tcW w:w="1887"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岗位</w:t>
            </w:r>
            <w:r/>
          </w:p>
        </w:tc>
        <w:tc>
          <w:tcPr>
            <w:tcMar>
              <w:left w:w="108" w:type="dxa"/>
              <w:right w:w="108" w:type="dxa"/>
            </w:tcMar>
            <w:tcW w:w="926"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人数</w:t>
            </w:r>
            <w:r/>
          </w:p>
        </w:tc>
        <w:tc>
          <w:tcPr>
            <w:tcMar>
              <w:left w:w="108" w:type="dxa"/>
              <w:right w:w="108" w:type="dxa"/>
            </w:tcMar>
            <w:tcW w:w="4307"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具体要求</w:t>
            </w:r>
            <w:r/>
          </w:p>
        </w:tc>
      </w:tr>
      <w:tr>
        <w:trPr>
          <w:jc w:val="center"/>
          <w:tblCellSpacing w:w="0" w:type="dxa"/>
          <w:trHeight w:val="90"/>
        </w:trPr>
        <w:tc>
          <w:tcPr>
            <w:tcMar>
              <w:left w:w="108" w:type="dxa"/>
              <w:right w:w="108" w:type="dxa"/>
            </w:tcMar>
            <w:tcW w:w="741"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w:t>
            </w:r>
            <w:r/>
          </w:p>
        </w:tc>
        <w:tc>
          <w:tcPr>
            <w:tcMar>
              <w:left w:w="108" w:type="dxa"/>
              <w:right w:w="108" w:type="dxa"/>
            </w:tcMar>
            <w:tcW w:w="1887"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项目负责人</w:t>
            </w:r>
            <w:r/>
          </w:p>
        </w:tc>
        <w:tc>
          <w:tcPr>
            <w:tcMar>
              <w:left w:w="108" w:type="dxa"/>
              <w:right w:w="108" w:type="dxa"/>
            </w:tcMar>
            <w:tcW w:w="926"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w:t>
            </w:r>
            <w:r/>
          </w:p>
        </w:tc>
        <w:tc>
          <w:tcPr>
            <w:tcMar>
              <w:left w:w="108" w:type="dxa"/>
              <w:right w:w="108" w:type="dxa"/>
            </w:tcMar>
            <w:tcW w:w="4307" w:type="dxa"/>
            <w:vAlign w:val="center"/>
            <w:textDirection w:val="lrTb"/>
            <w:noWrap w:val="false"/>
          </w:tcPr>
          <w:p>
            <w:pPr>
              <w:ind w:left="0" w:right="0"/>
              <w:jc w:val="left"/>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项目负责人负责组织协调，与采购人沟通，结合项目做好应急突发事件响应及处置等工作，把控组织项目整体的管理工作。</w:t>
            </w:r>
            <w:r/>
          </w:p>
        </w:tc>
      </w:tr>
      <w:tr>
        <w:trPr>
          <w:jc w:val="center"/>
          <w:tblCellSpacing w:w="0" w:type="dxa"/>
          <w:trHeight w:val="668"/>
        </w:trPr>
        <w:tc>
          <w:tcPr>
            <w:tcMar>
              <w:left w:w="108" w:type="dxa"/>
              <w:right w:w="108" w:type="dxa"/>
            </w:tcMar>
            <w:tcW w:w="741"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2</w:t>
            </w:r>
            <w:r/>
          </w:p>
        </w:tc>
        <w:tc>
          <w:tcPr>
            <w:tcMar>
              <w:left w:w="108" w:type="dxa"/>
              <w:right w:w="108" w:type="dxa"/>
            </w:tcMar>
            <w:tcW w:w="1887"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技术负责人</w:t>
            </w:r>
            <w:r/>
          </w:p>
        </w:tc>
        <w:tc>
          <w:tcPr>
            <w:tcMar>
              <w:left w:w="108" w:type="dxa"/>
              <w:right w:w="108" w:type="dxa"/>
            </w:tcMar>
            <w:tcW w:w="926" w:type="dxa"/>
            <w:vAlign w:val="center"/>
            <w:textDirection w:val="lrTb"/>
            <w:noWrap w:val="false"/>
          </w:tcPr>
          <w:p>
            <w:pPr>
              <w:ind w:left="0" w:right="0"/>
              <w:jc w:val="center"/>
              <w:keepLines w:val="0"/>
              <w:keepNext w:val="0"/>
              <w:spacing w:before="0" w:beforeAutospacing="0" w:after="0" w:afterAutospacing="0" w:line="0" w:lineRule="atLeast"/>
              <w:widowControl w:val="off"/>
              <w:rPr>
                <w:rFonts w:hint="eastAsia"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1</w:t>
            </w:r>
            <w:r/>
          </w:p>
        </w:tc>
        <w:tc>
          <w:tcPr>
            <w:tcMar>
              <w:left w:w="108" w:type="dxa"/>
              <w:right w:w="108" w:type="dxa"/>
            </w:tcMar>
            <w:tcW w:w="4307" w:type="dxa"/>
            <w:vAlign w:val="center"/>
            <w:textDirection w:val="lrTb"/>
            <w:noWrap w:val="false"/>
          </w:tcPr>
          <w:p>
            <w:pPr>
              <w:ind w:left="0" w:right="0"/>
              <w:jc w:val="left"/>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现场整体的技术管理，需具有相关证书：电工证、焊工证等，安装前向采购人提供证书原件。</w:t>
            </w:r>
            <w:r/>
          </w:p>
        </w:tc>
      </w:tr>
      <w:tr>
        <w:trPr>
          <w:jc w:val="center"/>
          <w:tblCellSpacing w:w="0" w:type="dxa"/>
          <w:trHeight w:val="806"/>
        </w:trPr>
        <w:tc>
          <w:tcPr>
            <w:tcMar>
              <w:left w:w="108" w:type="dxa"/>
              <w:right w:w="108" w:type="dxa"/>
            </w:tcMar>
            <w:tcW w:w="741"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w:t>
            </w:r>
            <w:r/>
          </w:p>
        </w:tc>
        <w:tc>
          <w:tcPr>
            <w:tcMar>
              <w:left w:w="108" w:type="dxa"/>
              <w:right w:w="108" w:type="dxa"/>
            </w:tcMar>
            <w:tcW w:w="1887"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安装人员</w:t>
            </w:r>
            <w:r/>
          </w:p>
        </w:tc>
        <w:tc>
          <w:tcPr>
            <w:tcMar>
              <w:left w:w="108" w:type="dxa"/>
              <w:right w:w="108" w:type="dxa"/>
            </w:tcMar>
            <w:tcW w:w="926" w:type="dxa"/>
            <w:vAlign w:val="center"/>
            <w:textDirection w:val="lrTb"/>
            <w:noWrap w:val="false"/>
          </w:tcPr>
          <w:p>
            <w:pPr>
              <w:ind w:left="0" w:right="0"/>
              <w:jc w:val="center"/>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w:t>
            </w:r>
            <w:r/>
          </w:p>
        </w:tc>
        <w:tc>
          <w:tcPr>
            <w:tcMar>
              <w:left w:w="108" w:type="dxa"/>
              <w:right w:w="108" w:type="dxa"/>
            </w:tcMar>
            <w:tcW w:w="4307" w:type="dxa"/>
            <w:vAlign w:val="center"/>
            <w:textDirection w:val="lrTb"/>
            <w:noWrap w:val="false"/>
          </w:tcPr>
          <w:p>
            <w:pPr>
              <w:ind w:left="0" w:right="0"/>
              <w:jc w:val="left"/>
              <w:keepLines w:val="0"/>
              <w:keepNext w:val="0"/>
              <w:spacing w:before="0" w:beforeAutospacing="0" w:after="0" w:afterAutospacing="0" w:line="0" w:lineRule="atLeast"/>
              <w:widowControl w:val="off"/>
              <w:rPr>
                <w:rFonts w:ascii="Times New Roman" w:hAnsi="Times New Roman" w:eastAsia="宋体" w:cs="Times New Roman"/>
                <w:sz w:val="24"/>
                <w:szCs w:val="22"/>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安装调试等，其中高空作业人员需具有高空作业证书，安装前向采购人提供证书原件。</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、履约验收要求</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1.验收主体：采购人；</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2.验收时间：供货完成后接采购人通知；</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3.验收方式：现场验收；</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验收程序：验收由采购人验收小组、中标人及相关人员依国家有关标准、合同及有关附件要求进行。验收完毕由采购人及中标人在验收报告上签名。必要时邀请相关的专业人员、其他参与响应的供应商、第三方机构参与验收。因质量问题发生争议时，由本地相关行业主管部门委托第三方机构鉴定，符合质量技术标准的，鉴定费由采购人承担，否则鉴定费由中标人承担。</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5.验收内容：采购文件中技术要求表内的全部内容。</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6.验收标准：符合采购文件及中标投标文件的全部技术要求，达到合格标准。</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6.1‌设备与辅材检查‌</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①规格‌型号核对‌</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确认空调规格型号、辅材（铜管、保温棉、冷凝水管等）与合同一致，避免串货机或材料替换‌。</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检查配件完整性（遥控器、说明书、保修卡等）‌。</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②‌外观检查‌</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室内机、室外机及管道表面无破损、划痕或变形‌。</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铜管保温层需连续严密，接口处用专用胶水粘合，避免冷凝水外露‌。</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6.2‌安装工艺验收‌</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①‌室外机安装‌</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位置要求：离墙≥30cm，通风良好，避开阳光直射/易燃物‌。</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固定方式：基础或支架安装，底部加防震垫，螺栓固定牢固‌。</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②‌管路与线路‌</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铜管/冷凝水管：支架间距≤80cm，排水坡度≥1%，弯曲处用专业工具处理‌。</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保温处理：铜管保温棉厚度≥15mm，冷凝水管无倒坡或软管弯曲‌。</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6.3‌功能与安全测试‌</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①‌运行测试‌</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制冷/制热：连续运行≥30分钟，检查温度达标及出风均匀性是否符合中标产品参数。</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噪音测试：运行噪音≤中标设备最高分贝，无异常振动或异响。</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②‌气密性检测‌</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保压测试：氮气加压至40kgf/cm²，保压24小时压降≤0.01kgf/cm²为合格‌。</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检漏操作：用肥皂水检查铜管焊接处，无气泡则为密封合格‌。</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7.设备规格：设备应符合所规定的技术规格和功能要求。确保设备的型号、尺寸、容量等与所需的规格相匹配。</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8.设备质量：设备的制造质量应符合相关的国家标准或行业标准。检查设备的外观是否完好，是否存在任何损坏或缺陷。</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9.安全性：设备应符合相关的安全要求和标准，检查设备是否具备必要的安全措施等。</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10.验收的具体流程和验收方法参照《江苏省政府采购履约验收管理办法》。</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1.该项目中所有货物均要求安装放置到指定地点。</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中标人必须提供不少于投标文件中须列明的相关质保服务，对本次采购的所有设施、配件、辅件在到货检查及质保期内出现故障等情形必须按同型号无偿更换。质保周期内，中标人应确保货物的正常使用，如有质量问题，须提供上门维修。</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 7×24 小时全天候售后电话服务，在质保期内出现故障时，响应时间为2小时；在接到保修电话后维修技术人员24小时内到达现场，不得借故推托而不到现场。不能修复时，中标人必须提供同种规格配件进行更换，如不能提供同种规格型号的配件，用其它型号配件代替时，需经采购人同意，且不补差价。</w:t>
      </w:r>
      <w:r/>
    </w:p>
    <w:p>
      <w:pPr>
        <w:ind w:firstLine="480"/>
        <w:jc w:val="left"/>
        <w:spacing w:line="360" w:lineRule="auto"/>
        <w:rPr>
          <w:rFonts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t xml:space="preserve">4.质保期不少于2年。质保期间，中标人承担维修、保养、安检、调换等，相关费用包含在预算内，采购方不再支付任何费用；对于采购方人为原因造成的故障，中标人只收取维保成本费用。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Times New Roman" w:hAnsi="Times New Roman" w:eastAsia="宋体" w:cs="Times New Roman"/>
          <w:b/>
          <w:sz w:val="28"/>
          <w:szCs w:val="28"/>
          <w:highlight w:val="none"/>
        </w:rPr>
      </w:pPr>
      <w:r>
        <w:rPr>
          <w:rFonts w:hint="eastAsia" w:ascii="宋体" w:hAnsi="宋体" w:eastAsia="宋体" w:cs="宋体"/>
          <w:color w:val="000000"/>
          <w:sz w:val="24"/>
          <w:szCs w:val="24"/>
          <w:highlight w:val="none"/>
          <w:lang w:val="en-US" w:eastAsia="zh-CN"/>
        </w:rPr>
        <w:t xml:space="preserve">5.质保期内，每年5月、11月上门巡检、保养及清洗滤网各一次。</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十、商品包装及快递包装要求</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1.中标人应根据货品及运输情况做好防护包装，将货品运至采购人指点场所。</w:t>
      </w:r>
      <w:r/>
    </w:p>
    <w:p>
      <w:pPr>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2.运输过程中货品出现损坏情况由中标人自行承担责任，并免费更换新货品。</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3.商品包装环保要求</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1）商品包装层数不得超过3 层，空隙率不大于40%；</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2）商品包装尽可能使用单一材质的包装材料，如因功能需求必需使用不同材质，不同材质间应便于分离；</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3）商品包装中铅、汞、镉、六价铬的总含量应不大于100mg/kg；</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4）商品包装印刷使用的油墨中挥发性有机化合物(VOCs)含量应不大于 5%（以重量计）；</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5）塑料材质商品包装上呈现的印刷颜色不得超过6色；</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6）纸质商品包装应使用 75%以上的可再生纤维原料生产；</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7）木质商品包装的原料应来源于可持续性森林。</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4.快递包装环保要求</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1）快递包装中重金属（铅、汞、镉、六价铬）总量应不大于 100mg/kg；</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2）快递包装印刷使用的油墨中不应添加邻苯二甲酸酯，其挥发性有机化合物(VOCs)含量应不大于5%（以重量计）；</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3）快递包装中使用纸基材的包装材料，纸基材中的有机氯的含量应不大于 150 mg/kg；</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5）快递中使用的塑料包装袋不得使用聚氯乙烯作为原料，且原料应为单一材质制成，生物分解率大于60%；</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6）快递中使用的充气类填充物不得使用聚氯乙烯作为原料，且原料为单一材质制成，生物分解率大于60%；</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7）快递中使用的集装袋应为单一材质制成，其重复使用次数应不小于 80 次；</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8）快递中应使用幅宽不大于45mm 的生物降解胶带；</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9）快递包装中不得使用溶剂型胶粘剂；</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10）快递应使用电子面单；</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11）直接使用商品包装作为快递包装的商品，其商品包装满足《商品包装政府采购需求标准（试行）》即可；</w:t>
      </w:r>
      <w:r/>
    </w:p>
    <w:p>
      <w:pPr>
        <w:ind w:firstLine="480"/>
        <w:jc w:val="left"/>
        <w:spacing w:line="360" w:lineRule="auto"/>
        <w:rPr>
          <w:highlight w:val="none"/>
        </w:rPr>
      </w:pPr>
      <w:r>
        <w:rPr>
          <w:rFonts w:hint="eastAsia" w:ascii="宋体" w:hAnsi="宋体" w:eastAsia="宋体" w:cs="宋体"/>
          <w:color w:val="000000"/>
          <w:sz w:val="24"/>
          <w:szCs w:val="24"/>
          <w:highlight w:val="none"/>
          <w:lang w:val="en-US" w:eastAsia="zh-CN"/>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w:t>
      </w:r>
      <w:r>
        <w:rPr>
          <w:rFonts w:hint="eastAsia" w:ascii="Times New Roman" w:hAnsi="Times New Roman" w:eastAsia="宋体" w:cs="Times New Roman"/>
          <w:b/>
          <w:sz w:val="28"/>
          <w:szCs w:val="28"/>
          <w:highlight w:val="none"/>
          <w:lang w:val="en-US" w:eastAsia="zh-CN"/>
        </w:rPr>
        <w:t xml:space="preserve">一</w:t>
      </w:r>
      <w:r>
        <w:rPr>
          <w:rFonts w:hint="eastAsia" w:ascii="Times New Roman" w:hAnsi="Times New Roman" w:eastAsia="宋体" w:cs="Times New Roman"/>
          <w:b/>
          <w:sz w:val="28"/>
          <w:szCs w:val="28"/>
          <w:highlight w:val="none"/>
        </w:rPr>
        <w:t xml:space="preserve">、投标报价要求</w:t>
      </w:r>
      <w:r/>
    </w:p>
    <w:p>
      <w:pPr>
        <w:ind w:left="0" w:right="0" w:firstLine="480"/>
        <w:jc w:val="both"/>
        <w:keepLines w:val="0"/>
        <w:keepNext w:val="0"/>
        <w:pageBreakBefore w:val="0"/>
        <w:spacing w:before="0" w:after="0" w:line="360" w:lineRule="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1.投标总价应是招标文件（包括现场踏勘情况、合同条款及采购人提供的技术资料等）所确定的采购范围内的全部工作内容的价格体现，应涵盖采购人在招标文件中所要求的所有工作内容，包括但不限于本次采购的设备材料（包括所有辅材、备品备件、软件）的制作、安装、运输、装卸、保管、拆除、清运、换新、移装、系统布置方案、系统调试、检测、维保、验收与试运行、培训与售后服务等一切费用，包括了人工费、材料费、设备费、机械费、措施费、管理费、利润、规费、税金以及原设备材料涨价等合同明示或暗示的所有一切风险、责任和义务的费用等所有费用。</w:t>
      </w:r>
      <w:r/>
    </w:p>
    <w:p>
      <w:pPr>
        <w:ind w:left="0" w:right="0" w:firstLine="480"/>
        <w:jc w:val="both"/>
        <w:keepLines w:val="0"/>
        <w:keepNext w:val="0"/>
        <w:pageBreakBefore w:val="0"/>
        <w:spacing w:before="0" w:after="0" w:line="360" w:lineRule="auto"/>
        <w:widowControl w:val="off"/>
        <w:rPr>
          <w:rFonts w:ascii="Times New Roman" w:hAnsi="Times New Roman" w:eastAsia="宋体" w:cs="Times New Roman"/>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2.投标人应根据招标文件中的采购清单所列设备材料的规格、型号、数量等清单项内容按给定的格式报价。该报价将贯穿于投标和合同实施期间，除本招标文件和合同另有约定外，均不得调整。</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十</w:t>
      </w:r>
      <w:r>
        <w:rPr>
          <w:rFonts w:hint="eastAsia" w:ascii="Times New Roman" w:hAnsi="Times New Roman" w:eastAsia="宋体" w:cs="Times New Roman"/>
          <w:b/>
          <w:sz w:val="28"/>
          <w:szCs w:val="28"/>
          <w:highlight w:val="none"/>
          <w:lang w:val="en-US" w:eastAsia="zh-CN"/>
        </w:rPr>
        <w:t xml:space="preserve">二</w:t>
      </w:r>
      <w:r>
        <w:rPr>
          <w:rFonts w:hint="eastAsia" w:ascii="Times New Roman" w:hAnsi="Times New Roman" w:eastAsia="宋体" w:cs="Times New Roman"/>
          <w:b/>
          <w:sz w:val="28"/>
          <w:szCs w:val="28"/>
          <w:highlight w:val="none"/>
        </w:rPr>
        <w:t xml:space="preserve">、付款方式与履约保证金</w:t>
      </w:r>
      <w:r/>
    </w:p>
    <w:p>
      <w:pPr>
        <w:ind w:firstLine="480"/>
        <w:jc w:val="left"/>
        <w:spacing w:line="360" w:lineRule="auto"/>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1、付款方式</w:t>
      </w:r>
      <w:r/>
    </w:p>
    <w:p>
      <w:pPr>
        <w:ind w:firstLine="480"/>
        <w:jc w:val="left"/>
        <w:spacing w:line="360" w:lineRule="auto"/>
        <w:rPr>
          <w:rFonts w:hint="default" w:cs="Times New Roman" w:asciiTheme="minorEastAsia" w:hAnsiTheme="minorEastAsia"/>
          <w:b w:val="0"/>
          <w:bCs w:val="0"/>
          <w:sz w:val="24"/>
          <w:szCs w:val="24"/>
          <w:highlight w:val="none"/>
          <w:lang w:val="en-US"/>
        </w:rPr>
      </w:pPr>
      <w:r>
        <w:rPr>
          <w:rFonts w:hint="eastAsia" w:ascii="宋体" w:hAnsi="宋体" w:eastAsia="宋体" w:cs="宋体"/>
          <w:b w:val="0"/>
          <w:bCs w:val="0"/>
          <w:i/>
          <w:iCs/>
          <w:color w:val="000000"/>
          <w:sz w:val="24"/>
          <w:szCs w:val="24"/>
          <w:highlight w:val="none"/>
          <w:u w:val="single"/>
          <w:lang w:val="en-US" w:eastAsia="zh-CN"/>
        </w:rPr>
        <w:t xml:space="preserve">付款方式：验收合格后付至合同价款的50%，尾款支付根据2026年年底资金安排或者2027年资金安排分两年支付。</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如有）</w:t>
      </w:r>
      <w:r>
        <w:rPr>
          <w:rFonts w:hint="eastAsia" w:ascii="宋体" w:hAnsi="宋体" w:eastAsia="宋体" w:cs="宋体"/>
          <w:b/>
          <w:color w:val="000000"/>
          <w:sz w:val="24"/>
          <w:szCs w:val="24"/>
        </w:rPr>
        <w:t xml:space="preserve">，否则投标无效</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本表格仅供提醒作用。</w:t>
      </w:r>
      <w:r/>
    </w:p>
    <w:tbl>
      <w:tblPr>
        <w:tblStyle w:val="1021"/>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597"/>
      </w:tblGrid>
      <w:tr>
        <w:trPr>
          <w:jc w:val="center"/>
        </w:trPr>
        <w:tc>
          <w:tcPr>
            <w:gridSpan w:val="2"/>
            <w:tcBorders>
              <w:top w:val="none" w:color="000000" w:sz="4" w:space="0"/>
              <w:left w:val="none" w:color="000000" w:sz="4" w:space="0"/>
              <w:bottom w:val="single" w:color="auto" w:sz="4" w:space="0"/>
              <w:right w:val="none" w:color="000000" w:sz="4" w:space="0"/>
            </w:tcBorders>
            <w:tcW w:w="8413"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597"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597" w:type="dxa"/>
            <w:textDirection w:val="lrTb"/>
            <w:noWrap w:val="false"/>
          </w:tcPr>
          <w:p>
            <w:pPr>
              <w:jc w:val="left"/>
              <w:spacing w:line="500" w:lineRule="exact"/>
              <w:rPr>
                <w:rFonts w:asciiTheme="minorEastAsia" w:hAnsiTheme="minorEastAsia"/>
                <w:b w:val="0"/>
                <w:bCs w:val="0"/>
                <w:sz w:val="24"/>
                <w:szCs w:val="24"/>
              </w:rPr>
            </w:pPr>
            <w:r>
              <w:rPr>
                <w:rFonts w:hint="eastAsia"/>
                <w:b w:val="0"/>
                <w:bCs w:val="0"/>
                <w:i/>
                <w:iCs/>
                <w:sz w:val="24"/>
                <w:szCs w:val="24"/>
                <w:highlight w:val="none"/>
                <w:u w:val="single"/>
              </w:rPr>
              <w:t xml:space="preserve">合同履行期限：</w:t>
            </w:r>
            <w:r>
              <w:rPr>
                <w:rFonts w:hint="eastAsia" w:hAnsi="宋体" w:cs="宋体"/>
                <w:b w:val="0"/>
                <w:bCs w:val="0"/>
                <w:i/>
                <w:iCs/>
                <w:color w:val="000000"/>
                <w:sz w:val="24"/>
                <w:highlight w:val="none"/>
                <w:u w:val="single"/>
                <w:lang w:val="en-US" w:eastAsia="zh-CN"/>
              </w:rPr>
              <w:t xml:space="preserve">合同签订之日起 30天内完成供货及安装调试。</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597" w:type="dxa"/>
            <w:textDirection w:val="lrTb"/>
            <w:noWrap w:val="false"/>
          </w:tcPr>
          <w:p>
            <w:pPr>
              <w:jc w:val="left"/>
              <w:spacing w:line="360" w:lineRule="auto"/>
              <w:rPr>
                <w:rFonts w:asciiTheme="minorEastAsia" w:hAnsiTheme="minorEastAsia"/>
                <w:b w:val="0"/>
                <w:bCs w:val="0"/>
                <w:sz w:val="24"/>
                <w:szCs w:val="24"/>
                <w:highlight w:val="none"/>
              </w:rPr>
            </w:pPr>
            <w:r>
              <w:rPr>
                <w:rFonts w:hint="eastAsia" w:ascii="宋体" w:hAnsi="宋体" w:eastAsia="宋体" w:cs="宋体"/>
                <w:b w:val="0"/>
                <w:bCs w:val="0"/>
                <w:i/>
                <w:iCs/>
                <w:color w:val="000000"/>
                <w:sz w:val="24"/>
                <w:szCs w:val="24"/>
                <w:highlight w:val="none"/>
                <w:u w:val="single"/>
                <w:lang w:val="en-US" w:eastAsia="zh-CN"/>
              </w:rPr>
              <w:t xml:space="preserve">付款方式：验收合格后付至合同价款的50%，尾款支付根据2026年年底资金安排或者2027年资金安排分两年支付。</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3</w:t>
            </w:r>
            <w:r/>
          </w:p>
        </w:tc>
        <w:tc>
          <w:tcPr>
            <w:tcW w:w="7597" w:type="dxa"/>
            <w:textDirection w:val="lrTb"/>
            <w:noWrap w:val="false"/>
          </w:tcPr>
          <w:p>
            <w:pPr>
              <w:jc w:val="left"/>
              <w:spacing w:line="500" w:lineRule="exact"/>
              <w:rPr>
                <w:rFonts w:asciiTheme="minorEastAsia" w:hAnsiTheme="minorEastAsia"/>
                <w:b w:val="0"/>
                <w:bCs w:val="0"/>
                <w:sz w:val="24"/>
                <w:szCs w:val="24"/>
                <w:highlight w:val="none"/>
              </w:rPr>
            </w:pPr>
            <w:r>
              <w:rPr>
                <w:rFonts w:hint="eastAsia" w:ascii="宋体" w:hAnsi="宋体" w:eastAsia="宋体" w:cs="宋体"/>
                <w:b w:val="0"/>
                <w:bCs w:val="0"/>
                <w:i/>
                <w:iCs/>
                <w:color w:val="000000"/>
                <w:sz w:val="24"/>
                <w:szCs w:val="24"/>
                <w:highlight w:val="none"/>
                <w:u w:val="single"/>
                <w:lang w:val="en-US" w:eastAsia="zh-CN"/>
              </w:rPr>
              <w:t xml:space="preserve">质保期不少于 2 年。质保期间，中标人承担维修、保养、安检、调换等，相关费用包含在预算内，采购方不再支付任何费用；对于采购方人为原因造成的故障，中标人只收取维保成本费用。</w:t>
            </w:r>
            <w:r/>
          </w:p>
        </w:tc>
      </w:tr>
      <w:tr>
        <w:trPr>
          <w:jc w:val="center"/>
        </w:trPr>
        <w:tc>
          <w:tcPr>
            <w:tcW w:w="816" w:type="dxa"/>
            <w:textDirection w:val="lrTb"/>
            <w:noWrap w:val="false"/>
          </w:tcPr>
          <w:p>
            <w:pPr>
              <w:jc w:val="center"/>
              <w:spacing w:line="500" w:lineRule="exact"/>
              <w:rPr>
                <w:rFonts w:hint="eastAsia" w:eastAsiaTheme="minorEastAsia"/>
                <w:sz w:val="24"/>
                <w:szCs w:val="24"/>
                <w:lang w:val="en-US" w:eastAsia="zh-CN"/>
              </w:rPr>
            </w:pPr>
            <w:r>
              <w:rPr>
                <w:rFonts w:hint="eastAsia"/>
                <w:sz w:val="24"/>
                <w:szCs w:val="24"/>
                <w:lang w:val="en-US" w:eastAsia="zh-CN"/>
              </w:rPr>
              <w:t xml:space="preserve">4</w:t>
            </w:r>
            <w:r/>
          </w:p>
        </w:tc>
        <w:tc>
          <w:tcPr>
            <w:tcW w:w="7597" w:type="dxa"/>
            <w:textDirection w:val="lrTb"/>
            <w:noWrap w:val="false"/>
          </w:tcPr>
          <w:p>
            <w:pPr>
              <w:jc w:val="left"/>
              <w:spacing w:line="500" w:lineRule="exact"/>
              <w:rPr>
                <w:b w:val="0"/>
                <w:bCs w:val="0"/>
                <w:sz w:val="24"/>
                <w:szCs w:val="24"/>
              </w:rPr>
            </w:pPr>
            <w:r>
              <w:rPr>
                <w:rFonts w:hint="eastAsia" w:ascii="宋体" w:hAnsi="宋体" w:eastAsia="宋体" w:cs="宋体"/>
                <w:b w:val="0"/>
                <w:bCs w:val="0"/>
                <w:i/>
                <w:iCs/>
                <w:color w:val="000000"/>
                <w:sz w:val="24"/>
                <w:szCs w:val="24"/>
                <w:highlight w:val="none"/>
                <w:u w:val="single"/>
                <w:lang w:val="en-US" w:eastAsia="zh-CN" w:bidi="ar"/>
              </w:rPr>
              <w:t xml:space="preserve">投标文件中须提供所投空调机节能产品认证证书（如有附录须提供）扫描件并加盖投标人公章。</w:t>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1007"/>
        <w:jc w:val="center"/>
        <w:spacing w:line="360" w:lineRule="auto"/>
        <w:rPr>
          <w:rFonts w:ascii="黑体" w:hAnsi="黑体" w:eastAsia="黑体"/>
          <w:sz w:val="24"/>
          <w:szCs w:val="24"/>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sz w:val="24"/>
          <w:szCs w:val="24"/>
          <w:highlight w:val="none"/>
        </w:rPr>
        <w:t xml:space="preserve">人。本项目</w:t>
      </w:r>
      <w:r>
        <w:rPr>
          <w:rFonts w:hint="eastAsia" w:asciiTheme="minorEastAsia" w:hAnsiTheme="minorEastAsia"/>
          <w:sz w:val="24"/>
          <w:szCs w:val="24"/>
          <w:highlight w:val="none"/>
        </w:rPr>
        <w:t xml:space="preserve">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rPr>
          <w:rFonts w:hint="eastAsia"/>
          <w:sz w:val="24"/>
          <w:szCs w:val="24"/>
          <w:highlight w:val="none"/>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45</w:t>
      </w:r>
      <w:r>
        <w:rPr>
          <w:rFonts w:hint="eastAsia" w:ascii="宋体" w:hAnsi="宋体" w:eastAsia="宋体" w:cs="宋体"/>
          <w:b/>
          <w:sz w:val="24"/>
          <w:szCs w:val="24"/>
        </w:rPr>
        <w:t xml:space="preserve">分）</w:t>
      </w:r>
      <w:r/>
    </w:p>
    <w:tbl>
      <w:tblPr>
        <w:tblStyle w:val="1011"/>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技术响应</w:t>
            </w:r>
            <w:r/>
          </w:p>
          <w:p>
            <w:pPr>
              <w:jc w:val="center"/>
              <w:keepLines w:val="0"/>
              <w:keepNext w:val="0"/>
              <w:pageBreakBefore w:val="0"/>
              <w:spacing w:line="500" w:lineRule="exact"/>
              <w:rPr>
                <w:rFonts w:hint="eastAsia" w:cs="Times New Roman" w:asciiTheme="minorEastAsia" w:hAnsiTheme="minorEastAsia"/>
                <w:b/>
                <w:color w:val="000000"/>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W w:w="6493" w:type="dxa"/>
            <w:vAlign w:val="center"/>
            <w:textDirection w:val="lrTb"/>
            <w:noWrap w:val="false"/>
          </w:tcPr>
          <w:p>
            <w:pPr>
              <w:keepLines w:val="0"/>
              <w:keepNext w:val="0"/>
              <w:pageBreakBefore w:val="0"/>
              <w:spacing w:line="50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sz w:val="24"/>
                <w:szCs w:val="24"/>
              </w:rPr>
              <w:t xml:space="preserve">货物（标的）技术参数及功能指标响应评审基准分</w:t>
            </w:r>
            <w:r>
              <w:rPr>
                <w:rFonts w:hint="eastAsia" w:ascii="宋体" w:hAnsi="宋体" w:eastAsia="宋体" w:cs="宋体"/>
                <w:b/>
                <w:bCs/>
                <w:color w:val="auto"/>
                <w:spacing w:val="-2"/>
                <w:sz w:val="24"/>
                <w:szCs w:val="24"/>
                <w:highlight w:val="none"/>
                <w:lang w:val="en-US" w:eastAsia="zh-CN"/>
              </w:rPr>
              <w:t xml:space="preserve">15分</w:t>
            </w:r>
            <w:r>
              <w:rPr>
                <w:rFonts w:hint="eastAsia" w:ascii="宋体" w:hAnsi="宋体" w:eastAsia="宋体" w:cs="宋体"/>
                <w:color w:val="auto"/>
                <w:spacing w:val="-2"/>
                <w:sz w:val="24"/>
                <w:szCs w:val="24"/>
                <w:highlight w:val="none"/>
                <w:lang w:val="en-US" w:eastAsia="zh-CN"/>
              </w:rPr>
              <w:t xml:space="preserve">，</w:t>
            </w:r>
            <w:r>
              <w:rPr>
                <w:rFonts w:hint="eastAsia" w:ascii="宋体" w:hAnsi="宋体" w:eastAsia="宋体"/>
                <w:sz w:val="24"/>
                <w:szCs w:val="24"/>
              </w:rPr>
              <w:t xml:space="preserve">标注“▲”项的功能指标及技术参数每有一项负偏</w:t>
            </w:r>
            <w:r>
              <w:rPr>
                <w:rFonts w:hint="eastAsia" w:ascii="宋体" w:hAnsi="宋体" w:eastAsia="宋体"/>
                <w:sz w:val="24"/>
                <w:szCs w:val="24"/>
                <w:highlight w:val="none"/>
              </w:rPr>
              <w:t xml:space="preserve">离扣</w:t>
            </w:r>
            <w:r>
              <w:rPr>
                <w:rFonts w:hint="eastAsia" w:ascii="宋体" w:hAnsi="宋体" w:eastAsia="宋体"/>
                <w:b/>
                <w:bCs/>
                <w:sz w:val="24"/>
                <w:szCs w:val="24"/>
                <w:highlight w:val="none"/>
                <w:lang w:val="en-US" w:eastAsia="zh-CN"/>
              </w:rPr>
              <w:t xml:space="preserve">0.5</w:t>
            </w:r>
            <w:r>
              <w:rPr>
                <w:rFonts w:hint="eastAsia" w:ascii="宋体" w:hAnsi="宋体" w:eastAsia="宋体"/>
                <w:b/>
                <w:bCs/>
                <w:sz w:val="24"/>
                <w:szCs w:val="24"/>
                <w:highlight w:val="none"/>
              </w:rPr>
              <w:t xml:space="preserve">分</w:t>
            </w:r>
            <w:r>
              <w:rPr>
                <w:rFonts w:hint="eastAsia" w:ascii="宋体" w:hAnsi="宋体" w:eastAsia="宋体"/>
                <w:sz w:val="24"/>
                <w:szCs w:val="24"/>
                <w:highlight w:val="none"/>
              </w:rPr>
              <w:t xml:space="preserve">，</w:t>
            </w:r>
            <w:r>
              <w:rPr>
                <w:rFonts w:hint="eastAsia" w:ascii="宋体" w:hAnsi="宋体" w:eastAsia="宋体"/>
                <w:sz w:val="24"/>
                <w:szCs w:val="24"/>
              </w:rPr>
              <w:t xml:space="preserve">扣完为止</w:t>
            </w:r>
            <w:r>
              <w:rPr>
                <w:rFonts w:hint="eastAsia" w:ascii="宋体" w:hAnsi="宋体" w:eastAsia="宋体"/>
                <w:sz w:val="24"/>
                <w:szCs w:val="24"/>
                <w:lang w:eastAsia="zh-CN"/>
              </w:rPr>
              <w:t xml:space="preserve">。</w:t>
            </w:r>
            <w:r/>
          </w:p>
          <w:p>
            <w:pPr>
              <w:keepLines w:val="0"/>
              <w:keepNext w:val="0"/>
              <w:pageBreakBefore w:val="0"/>
              <w:spacing w:line="500" w:lineRule="exact"/>
              <w:rPr>
                <w:rFonts w:hint="eastAsia" w:cs="Times New Roman" w:asciiTheme="minorEastAsia" w:hAnsiTheme="minorEastAsia"/>
                <w:b/>
                <w:color w:val="000000"/>
                <w:sz w:val="24"/>
                <w:szCs w:val="24"/>
                <w:highlight w:val="none"/>
              </w:rPr>
            </w:pPr>
            <w:r>
              <w:rPr>
                <w:rFonts w:hint="eastAsia" w:ascii="宋体" w:hAnsi="宋体"/>
                <w:b/>
                <w:sz w:val="24"/>
              </w:rPr>
              <w:t xml:space="preserve">（投标文件中详细填写技术要求响应及偏离表，须逐条响应</w:t>
            </w:r>
            <w:r>
              <w:rPr>
                <w:rFonts w:hint="eastAsia" w:ascii="宋体" w:hAnsi="宋体"/>
                <w:b/>
                <w:sz w:val="24"/>
                <w:lang w:eastAsia="zh-CN"/>
              </w:rPr>
              <w:t xml:space="preserve">，</w:t>
            </w:r>
            <w:r>
              <w:rPr>
                <w:rFonts w:hint="eastAsia" w:ascii="宋体" w:hAnsi="宋体"/>
                <w:b/>
                <w:bCs w:val="0"/>
                <w:sz w:val="24"/>
                <w:lang w:val="en-US" w:eastAsia="zh-CN"/>
              </w:rPr>
              <w:t xml:space="preserve">未标注</w:t>
            </w:r>
            <w:r>
              <w:rPr>
                <w:rFonts w:hint="eastAsia" w:ascii="宋体" w:hAnsi="宋体" w:eastAsia="宋体"/>
                <w:b/>
                <w:bCs w:val="0"/>
                <w:sz w:val="24"/>
                <w:szCs w:val="24"/>
              </w:rPr>
              <w:t xml:space="preserve">“▲”项的功能指标及技术参数</w:t>
            </w:r>
            <w:r>
              <w:rPr>
                <w:rFonts w:hint="eastAsia" w:ascii="宋体" w:hAnsi="宋体"/>
                <w:b/>
                <w:bCs w:val="0"/>
                <w:sz w:val="24"/>
                <w:szCs w:val="24"/>
                <w:lang w:val="en-US" w:eastAsia="zh-CN"/>
              </w:rPr>
              <w:t xml:space="preserve">存在负偏离的须逐条响应，否则交货时须按招标文件约定参数供货）</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体系认证</w:t>
            </w:r>
            <w:r/>
          </w:p>
          <w:p>
            <w:pPr>
              <w:jc w:val="center"/>
              <w:keepLines w:val="0"/>
              <w:keepNext w:val="0"/>
              <w:pageBreakBefore w:val="0"/>
              <w:spacing w:line="500" w:lineRule="exact"/>
              <w:widowControl w:val="off"/>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w:t>
            </w:r>
            <w:r/>
          </w:p>
        </w:tc>
        <w:tc>
          <w:tcPr>
            <w:tcW w:w="6493" w:type="dxa"/>
            <w:vAlign w:val="center"/>
            <w:textDirection w:val="lrTb"/>
            <w:noWrap w:val="false"/>
          </w:tcPr>
          <w:p>
            <w:pPr>
              <w:numPr>
                <w:ilvl w:val="0"/>
                <w:numId w:val="0"/>
              </w:numPr>
              <w:ind w:left="0" w:firstLine="0"/>
              <w:jc w:val="left"/>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w:t>
            </w:r>
            <w:r>
              <w:rPr>
                <w:rFonts w:hint="eastAsia" w:ascii="宋体" w:hAnsi="宋体" w:eastAsia="宋体" w:cs="宋体"/>
                <w:b w:val="0"/>
                <w:bCs w:val="0"/>
                <w:color w:val="000000"/>
                <w:sz w:val="24"/>
                <w:szCs w:val="24"/>
                <w:highlight w:val="none"/>
              </w:rPr>
              <w:t xml:space="preserve">具有质量管理体系认证</w:t>
            </w:r>
            <w:r>
              <w:rPr>
                <w:rFonts w:hint="eastAsia" w:ascii="宋体" w:hAnsi="宋体" w:eastAsia="宋体" w:cs="宋体"/>
                <w:b w:val="0"/>
                <w:bCs w:val="0"/>
                <w:color w:val="000000"/>
                <w:sz w:val="24"/>
                <w:szCs w:val="24"/>
                <w:highlight w:val="none"/>
                <w:lang w:val="en-US" w:eastAsia="zh-CN"/>
              </w:rPr>
              <w:t xml:space="preserve">证书的</w:t>
            </w:r>
            <w:r>
              <w:rPr>
                <w:rFonts w:hint="eastAsia" w:ascii="宋体" w:hAnsi="宋体" w:eastAsia="宋体" w:cs="宋体"/>
                <w:b/>
                <w:bCs/>
                <w:color w:val="000000"/>
                <w:sz w:val="24"/>
                <w:szCs w:val="24"/>
                <w:highlight w:val="none"/>
                <w:lang w:val="en-US" w:eastAsia="zh-CN"/>
              </w:rPr>
              <w:t xml:space="preserve">得2分；</w:t>
            </w:r>
            <w:r/>
          </w:p>
          <w:p>
            <w:pPr>
              <w:numPr>
                <w:ilvl w:val="0"/>
                <w:numId w:val="0"/>
              </w:numPr>
              <w:ind w:left="0" w:firstLine="0"/>
              <w:jc w:val="left"/>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w:t>
            </w:r>
            <w:r>
              <w:rPr>
                <w:rFonts w:hint="eastAsia" w:ascii="宋体" w:hAnsi="宋体" w:eastAsia="宋体" w:cs="宋体"/>
                <w:b w:val="0"/>
                <w:bCs w:val="0"/>
                <w:color w:val="000000"/>
                <w:sz w:val="24"/>
                <w:szCs w:val="24"/>
                <w:highlight w:val="none"/>
              </w:rPr>
              <w:t xml:space="preserve">具有环境管理体系认证</w:t>
            </w:r>
            <w:r>
              <w:rPr>
                <w:rFonts w:hint="eastAsia" w:ascii="宋体" w:hAnsi="宋体" w:eastAsia="宋体" w:cs="宋体"/>
                <w:b w:val="0"/>
                <w:bCs w:val="0"/>
                <w:color w:val="000000"/>
                <w:sz w:val="24"/>
                <w:szCs w:val="24"/>
                <w:highlight w:val="none"/>
                <w:lang w:val="en-US" w:eastAsia="zh-CN"/>
              </w:rPr>
              <w:t xml:space="preserve">证书的</w:t>
            </w:r>
            <w:r>
              <w:rPr>
                <w:rFonts w:hint="eastAsia" w:ascii="宋体" w:hAnsi="宋体" w:eastAsia="宋体" w:cs="宋体"/>
                <w:b/>
                <w:bCs/>
                <w:color w:val="000000"/>
                <w:sz w:val="24"/>
                <w:szCs w:val="24"/>
                <w:highlight w:val="none"/>
                <w:lang w:val="en-US" w:eastAsia="zh-CN"/>
              </w:rPr>
              <w:t xml:space="preserve">得2分；</w:t>
            </w:r>
            <w:r/>
          </w:p>
          <w:p>
            <w:pPr>
              <w:numPr>
                <w:ilvl w:val="0"/>
                <w:numId w:val="0"/>
              </w:numPr>
              <w:ind w:left="0" w:firstLine="0"/>
              <w:jc w:val="left"/>
              <w:keepLines w:val="0"/>
              <w:keepNext w:val="0"/>
              <w:pageBreakBefore w:val="0"/>
              <w:spacing w:line="5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3.投标人</w:t>
            </w:r>
            <w:r>
              <w:rPr>
                <w:rFonts w:hint="eastAsia" w:ascii="宋体" w:hAnsi="宋体" w:eastAsia="宋体" w:cs="宋体"/>
                <w:b w:val="0"/>
                <w:bCs w:val="0"/>
                <w:color w:val="000000"/>
                <w:sz w:val="24"/>
                <w:szCs w:val="24"/>
                <w:highlight w:val="none"/>
              </w:rPr>
              <w:t xml:space="preserve">具有</w:t>
            </w:r>
            <w:r>
              <w:rPr>
                <w:rFonts w:hint="eastAsia" w:ascii="宋体" w:hAnsi="宋体" w:eastAsia="宋体" w:cs="宋体"/>
                <w:b w:val="0"/>
                <w:bCs w:val="0"/>
                <w:sz w:val="24"/>
                <w:szCs w:val="24"/>
              </w:rPr>
              <w:t xml:space="preserve">职业安全健康管理体系认证</w:t>
            </w:r>
            <w:r>
              <w:rPr>
                <w:rFonts w:hint="eastAsia" w:ascii="宋体" w:hAnsi="宋体" w:eastAsia="宋体" w:cs="宋体"/>
                <w:b w:val="0"/>
                <w:bCs w:val="0"/>
                <w:sz w:val="24"/>
                <w:szCs w:val="24"/>
                <w:lang w:val="en-US" w:eastAsia="zh-CN"/>
              </w:rPr>
              <w:t xml:space="preserve">证书</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rPr>
              <w:t xml:space="preserve">。</w:t>
            </w:r>
            <w:r/>
          </w:p>
          <w:p>
            <w:pPr>
              <w:numPr>
                <w:ilvl w:val="0"/>
                <w:numId w:val="0"/>
              </w:numPr>
              <w:ind w:left="0" w:firstLine="0"/>
              <w:jc w:val="left"/>
              <w:keepLines w:val="0"/>
              <w:keepNext w:val="0"/>
              <w:pageBreakBefore w:val="0"/>
              <w:spacing w:line="500" w:lineRule="exact"/>
              <w:widowControl/>
            </w:pPr>
            <w:r>
              <w:rPr>
                <w:rFonts w:hint="eastAsia" w:ascii="宋体" w:hAnsi="宋体" w:eastAsia="宋体" w:cs="宋体"/>
                <w:b/>
                <w:bCs/>
                <w:color w:val="000000"/>
                <w:sz w:val="24"/>
                <w:szCs w:val="24"/>
                <w:highlight w:val="none"/>
                <w:lang w:val="en-US" w:eastAsia="zh-CN"/>
              </w:rPr>
              <w:t xml:space="preserve">（上述1-3项投</w:t>
            </w:r>
            <w:r>
              <w:rPr>
                <w:rFonts w:hint="eastAsia" w:ascii="宋体" w:hAnsi="宋体"/>
                <w:b/>
                <w:bCs/>
                <w:color w:val="000000"/>
                <w:sz w:val="24"/>
              </w:rPr>
              <w:t xml:space="preserve">标文件中提供有效期内的证书扫描件并加盖投标人公章，否则不得分</w:t>
            </w:r>
            <w:r>
              <w:rPr>
                <w:rFonts w:hint="eastAsia" w:ascii="宋体" w:hAnsi="宋体" w:eastAsia="宋体" w:cs="宋体"/>
                <w:b/>
                <w:bCs/>
                <w:color w:val="000000"/>
                <w:sz w:val="24"/>
                <w:szCs w:val="24"/>
                <w:highlight w:val="none"/>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业绩</w:t>
            </w:r>
            <w:r/>
          </w:p>
          <w:p>
            <w:pPr>
              <w:jc w:val="center"/>
              <w:keepLines w:val="0"/>
              <w:keepNext w:val="0"/>
              <w:pageBreakBefore w:val="0"/>
              <w:spacing w:line="500" w:lineRule="exact"/>
              <w:widowControl w:val="off"/>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分）</w:t>
            </w:r>
            <w:r/>
          </w:p>
        </w:tc>
        <w:tc>
          <w:tcPr>
            <w:tcW w:w="6493"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年3月1日</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以来</w:t>
            </w: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具有类似项目业绩（内容须包含多联机机组采购及安装）的，每有一个</w:t>
            </w:r>
            <w:r>
              <w:rPr>
                <w:rFonts w:hint="eastAsia" w:ascii="宋体" w:hAnsi="宋体" w:eastAsia="宋体" w:cs="宋体"/>
                <w:b/>
                <w:bCs/>
                <w:sz w:val="24"/>
                <w:szCs w:val="24"/>
                <w:lang w:val="en-US" w:eastAsia="zh-CN"/>
              </w:rPr>
              <w:t xml:space="preserve">得3分</w:t>
            </w:r>
            <w:r>
              <w:rPr>
                <w:rFonts w:hint="eastAsia" w:ascii="宋体" w:hAnsi="宋体" w:eastAsia="宋体" w:cs="宋体"/>
                <w:sz w:val="24"/>
                <w:szCs w:val="24"/>
                <w:lang w:val="en-US" w:eastAsia="zh-CN"/>
              </w:rPr>
              <w:t xml:space="preserve">，本项最高</w:t>
            </w:r>
            <w:r>
              <w:rPr>
                <w:rFonts w:hint="eastAsia" w:ascii="宋体" w:hAnsi="宋体" w:eastAsia="宋体" w:cs="宋体"/>
                <w:b/>
                <w:bCs/>
                <w:sz w:val="24"/>
                <w:szCs w:val="24"/>
                <w:lang w:val="en-US" w:eastAsia="zh-CN"/>
              </w:rPr>
              <w:t xml:space="preserve">得9分</w:t>
            </w:r>
            <w:r>
              <w:rPr>
                <w:rFonts w:hint="eastAsia" w:ascii="宋体" w:hAnsi="宋体" w:eastAsia="宋体" w:cs="宋体"/>
                <w:sz w:val="24"/>
                <w:szCs w:val="24"/>
                <w:lang w:val="en-US" w:eastAsia="zh-CN"/>
              </w:rPr>
              <w:t xml:space="preserve">。</w:t>
            </w:r>
            <w:r/>
          </w:p>
          <w:p>
            <w:pPr>
              <w:jc w:val="left"/>
              <w:keepLines w:val="0"/>
              <w:keepNext w:val="0"/>
              <w:pageBreakBefore w:val="0"/>
              <w:spacing w:line="500" w:lineRule="exact"/>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投标文件中提供</w:t>
            </w:r>
            <w:r>
              <w:rPr>
                <w:rFonts w:hint="eastAsia" w:ascii="宋体" w:hAnsi="宋体" w:eastAsia="宋体" w:cs="宋体"/>
                <w:b/>
                <w:bCs/>
                <w:sz w:val="24"/>
                <w:szCs w:val="24"/>
              </w:rPr>
              <w:t xml:space="preserve">合同扫描件</w:t>
            </w:r>
            <w:r>
              <w:rPr>
                <w:rFonts w:hint="eastAsia" w:ascii="宋体" w:hAnsi="宋体" w:eastAsia="宋体" w:cs="宋体"/>
                <w:b/>
                <w:bCs/>
                <w:sz w:val="24"/>
                <w:szCs w:val="24"/>
                <w:lang w:val="en-US" w:eastAsia="zh-CN"/>
              </w:rPr>
              <w:t xml:space="preserve">并加盖投标人公章</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否则</w:t>
            </w:r>
            <w:r>
              <w:rPr>
                <w:rFonts w:hint="eastAsia" w:ascii="宋体" w:hAnsi="宋体" w:eastAsia="宋体" w:cs="宋体"/>
                <w:b/>
                <w:bCs/>
                <w:sz w:val="24"/>
                <w:szCs w:val="24"/>
              </w:rPr>
              <w:t xml:space="preserve">不得分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时间以合同签订时间为准）</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人员配置</w:t>
            </w:r>
            <w:r/>
          </w:p>
          <w:p>
            <w:pPr>
              <w:jc w:val="center"/>
              <w:keepLines w:val="0"/>
              <w:keepNext w:val="0"/>
              <w:pageBreakBefore w:val="0"/>
              <w:spacing w:line="500" w:lineRule="exact"/>
              <w:widowControl w:val="off"/>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w:t>
            </w:r>
            <w:r/>
          </w:p>
        </w:tc>
        <w:tc>
          <w:tcPr>
            <w:tcW w:w="6493"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在满足采购需求中的安装人数基础上，每增加一名安装人员得3分，本项</w:t>
            </w:r>
            <w:r>
              <w:rPr>
                <w:rFonts w:hint="eastAsia" w:ascii="宋体" w:hAnsi="宋体" w:eastAsia="宋体" w:cs="宋体"/>
                <w:b/>
                <w:bCs/>
                <w:sz w:val="24"/>
                <w:szCs w:val="24"/>
                <w:lang w:val="en-US" w:eastAsia="zh-CN"/>
              </w:rPr>
              <w:t xml:space="preserve">最高得6分</w:t>
            </w:r>
            <w:r>
              <w:rPr>
                <w:rFonts w:hint="eastAsia" w:ascii="宋体" w:hAnsi="宋体" w:eastAsia="宋体" w:cs="宋体"/>
                <w:sz w:val="24"/>
                <w:szCs w:val="24"/>
                <w:lang w:val="en-US" w:eastAsia="zh-CN"/>
              </w:rPr>
              <w:t xml:space="preserve">。</w:t>
            </w:r>
            <w:r/>
          </w:p>
          <w:p>
            <w:pPr>
              <w:jc w:val="left"/>
              <w:keepLines w:val="0"/>
              <w:keepNext w:val="0"/>
              <w:pageBreakBefore w:val="0"/>
              <w:spacing w:line="500" w:lineRule="exact"/>
            </w:pPr>
            <w:r>
              <w:rPr>
                <w:rFonts w:hint="eastAsia" w:ascii="宋体" w:hAnsi="宋体" w:eastAsia="宋体" w:cs="宋体"/>
                <w:sz w:val="24"/>
                <w:szCs w:val="24"/>
              </w:rPr>
              <w:t xml:space="preserve">（</w:t>
            </w:r>
            <w:r>
              <w:rPr>
                <w:rFonts w:hint="eastAsia" w:ascii="宋体" w:hAnsi="宋体" w:cs="宋体"/>
                <w:b/>
                <w:bCs/>
                <w:sz w:val="24"/>
              </w:rPr>
              <w:t xml:space="preserve">投标文件中提供加盖投标人公章的承诺函扫描件</w:t>
            </w:r>
            <w:r>
              <w:rPr>
                <w:rFonts w:hint="eastAsia" w:ascii="宋体" w:hAnsi="宋体"/>
                <w:b/>
                <w:bCs/>
                <w:sz w:val="24"/>
              </w:rPr>
              <w:t xml:space="preserve">，否则不得分</w:t>
            </w:r>
            <w:r>
              <w:rPr>
                <w:rFonts w:hint="eastAsia" w:ascii="宋体" w:hAnsi="宋体"/>
                <w:b/>
                <w:bCs/>
                <w:sz w:val="24"/>
                <w:lang w:eastAsia="zh-CN"/>
              </w:rPr>
              <w:t xml:space="preserve">。</w:t>
            </w:r>
            <w:r>
              <w:rPr>
                <w:rFonts w:hint="eastAsia" w:ascii="宋体" w:hAnsi="宋体"/>
                <w:b/>
                <w:bCs/>
                <w:sz w:val="24"/>
                <w:lang w:val="en-US" w:eastAsia="zh-CN"/>
              </w:rPr>
              <w:t xml:space="preserve">承诺函格式自拟</w:t>
            </w:r>
            <w:r>
              <w:rPr>
                <w:rFonts w:hint="eastAsia" w:ascii="宋体" w:hAnsi="宋体" w:eastAsia="宋体" w:cs="宋体"/>
                <w:sz w:val="24"/>
                <w:szCs w:val="24"/>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售后服务承诺</w:t>
            </w:r>
            <w:r/>
          </w:p>
          <w:p>
            <w:pPr>
              <w:jc w:val="center"/>
              <w:keepLines w:val="0"/>
              <w:keepNext w:val="0"/>
              <w:pageBreakBefore w:val="0"/>
              <w:spacing w:line="5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lang w:val="en-US" w:eastAsia="zh-CN" w:bidi="ar"/>
              </w:rPr>
              <w:t xml:space="preserve">（3分）</w:t>
            </w:r>
            <w:r/>
          </w:p>
        </w:tc>
        <w:tc>
          <w:tcPr>
            <w:tcW w:w="6493" w:type="dxa"/>
            <w:vAlign w:val="center"/>
            <w:textDirection w:val="lrTb"/>
            <w:noWrap w:val="false"/>
          </w:tcPr>
          <w:p>
            <w:pPr>
              <w:pStyle w:val="1040"/>
              <w:ind w:left="0" w:firstLine="0"/>
              <w:keepLines w:val="0"/>
              <w:keepNext w:val="0"/>
              <w:pageBreakBefore w:val="0"/>
              <w:spacing w:line="500" w:lineRule="exact"/>
              <w:rPr>
                <w:rFonts w:hint="eastAsia" w:ascii="宋体" w:hAnsi="宋体" w:eastAsia="宋体" w:cs="宋体"/>
                <w:b w:val="0"/>
                <w:bCs w:val="0"/>
                <w:color w:val="000000"/>
                <w:sz w:val="24"/>
                <w:szCs w:val="24"/>
                <w:highlight w:val="none"/>
                <w:lang w:val="en-US" w:eastAsia="zh-CN"/>
              </w:rPr>
            </w:pPr>
            <w:r>
              <w:rPr>
                <w:rFonts w:hint="eastAsia"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rPr>
              <w:t xml:space="preserve">承诺</w:t>
            </w:r>
            <w:r>
              <w:rPr>
                <w:rFonts w:hint="eastAsia"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呼叫后2小时内到达现场处理故障，24小时内不能修复的，提供备机服务的</w:t>
            </w:r>
            <w:r>
              <w:rPr>
                <w:rFonts w:hint="eastAsia" w:ascii="宋体" w:hAnsi="宋体" w:eastAsia="宋体" w:cs="宋体"/>
                <w:b/>
                <w:bCs/>
                <w:color w:val="000000"/>
                <w:sz w:val="24"/>
                <w:szCs w:val="24"/>
                <w:highlight w:val="none"/>
                <w:lang w:val="en-US" w:eastAsia="zh-CN"/>
              </w:rPr>
              <w:t xml:space="preserve">得</w:t>
            </w:r>
            <w:r>
              <w:rPr>
                <w:rFonts w:hint="eastAsia"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t xml:space="preserve">。</w:t>
            </w:r>
            <w:r/>
          </w:p>
          <w:p>
            <w:pPr>
              <w:pStyle w:val="1040"/>
              <w:ind w:left="0" w:firstLine="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sz w:val="24"/>
              </w:rPr>
              <w:t xml:space="preserve">投标文件中提供加盖投标人公章的承诺函扫描件</w:t>
            </w:r>
            <w:r>
              <w:rPr>
                <w:rFonts w:hint="eastAsia" w:ascii="宋体" w:hAnsi="宋体"/>
                <w:b/>
                <w:bCs/>
                <w:sz w:val="24"/>
              </w:rPr>
              <w:t xml:space="preserve">，否则不得分</w:t>
            </w:r>
            <w:r>
              <w:rPr>
                <w:rFonts w:hint="eastAsia" w:ascii="宋体" w:hAnsi="宋体"/>
                <w:b/>
                <w:bCs/>
                <w:sz w:val="24"/>
                <w:lang w:eastAsia="zh-CN"/>
              </w:rPr>
              <w:t xml:space="preserve">。</w:t>
            </w:r>
            <w:r>
              <w:rPr>
                <w:rFonts w:hint="eastAsia" w:ascii="宋体" w:hAnsi="宋体"/>
                <w:b/>
                <w:bCs/>
                <w:sz w:val="24"/>
                <w:lang w:val="en-US" w:eastAsia="zh-CN"/>
              </w:rPr>
              <w:t xml:space="preserve">承诺函格式自拟</w:t>
            </w:r>
            <w:r>
              <w:rPr>
                <w:rFonts w:hint="eastAsia" w:ascii="宋体" w:hAnsi="宋体"/>
                <w:b/>
                <w:bCs/>
                <w:sz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质保期</w:t>
            </w:r>
            <w:r/>
          </w:p>
          <w:p>
            <w:pPr>
              <w:jc w:val="center"/>
              <w:keepLines w:val="0"/>
              <w:keepNext w:val="0"/>
              <w:pageBreakBefore w:val="0"/>
              <w:spacing w:line="50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w:t>
            </w:r>
            <w:r/>
          </w:p>
        </w:tc>
        <w:tc>
          <w:tcPr>
            <w:tcW w:w="6493"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满足招标文件质保期要求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基础上每增加</w:t>
            </w:r>
            <w:r>
              <w:rPr>
                <w:rFonts w:hint="eastAsia" w:ascii="宋体" w:hAnsi="宋体" w:eastAsia="宋体" w:cs="宋体"/>
                <w:sz w:val="24"/>
                <w:szCs w:val="24"/>
                <w:highlight w:val="none"/>
                <w:lang w:val="en-US" w:eastAsia="zh-CN"/>
              </w:rPr>
              <w:t xml:space="preserve">六个月的</w:t>
            </w:r>
            <w:r>
              <w:rPr>
                <w:rFonts w:hint="eastAsia" w:ascii="宋体" w:hAnsi="宋体" w:eastAsia="宋体" w:cs="宋体"/>
                <w:sz w:val="24"/>
                <w:szCs w:val="24"/>
                <w:highlight w:val="none"/>
              </w:rPr>
              <w:t xml:space="preserve">质保</w:t>
            </w:r>
            <w:r>
              <w:rPr>
                <w:rFonts w:hint="eastAsia" w:ascii="宋体" w:hAnsi="宋体" w:eastAsia="宋体" w:cs="宋体"/>
                <w:b/>
                <w:bCs/>
                <w:sz w:val="24"/>
                <w:szCs w:val="24"/>
                <w:highlight w:val="none"/>
                <w:lang w:val="en-US" w:eastAsia="zh-CN"/>
              </w:rPr>
              <w:t xml:space="preserve">得2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，本项</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b/>
                <w:bCs/>
                <w:sz w:val="24"/>
                <w:highlight w:val="none"/>
              </w:rPr>
              <w:t xml:space="preserve">投标文件中提供加盖投标人公章的承诺函扫描件</w:t>
            </w:r>
            <w:r>
              <w:rPr>
                <w:rFonts w:hint="eastAsia" w:ascii="宋体" w:hAnsi="宋体"/>
                <w:b/>
                <w:bCs/>
                <w:sz w:val="24"/>
                <w:highlight w:val="none"/>
              </w:rPr>
              <w:t xml:space="preserve">，否则不得分</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承诺函格式自拟</w:t>
            </w:r>
            <w:r>
              <w:rPr>
                <w:rFonts w:hint="eastAsia" w:ascii="宋体" w:hAnsi="宋体" w:eastAsia="宋体" w:cs="宋体"/>
                <w:sz w:val="24"/>
                <w:szCs w:val="24"/>
                <w:highlight w:val="none"/>
              </w:rPr>
              <w:t xml:space="preserve">）</w:t>
            </w:r>
            <w:r/>
          </w:p>
        </w:tc>
      </w:tr>
      <w:tr>
        <w:trPr>
          <w:jc w:val="center"/>
          <w:trHeight w:val="621"/>
        </w:trPr>
        <w:tc>
          <w:tcPr>
            <w:tcW w:w="1804" w:type="dxa"/>
            <w:vAlign w:val="center"/>
            <w:textDirection w:val="lrTb"/>
            <w:noWrap w:val="false"/>
          </w:tcPr>
          <w:p>
            <w:pPr>
              <w:jc w:val="center"/>
              <w:spacing w:line="276" w:lineRule="auto"/>
              <w:rPr>
                <w:rFonts w:asciiTheme="minorEastAsia" w:hAnsiTheme="minorEastAsia"/>
                <w:sz w:val="24"/>
              </w:rPr>
            </w:pPr>
            <w:r>
              <w:rPr>
                <w:rFonts w:hint="eastAsia" w:asciiTheme="minorEastAsia" w:hAnsiTheme="minorEastAsia"/>
                <w:sz w:val="24"/>
              </w:rPr>
              <w:t xml:space="preserve">节能环保</w:t>
            </w:r>
            <w:r/>
          </w:p>
          <w:p>
            <w:pPr>
              <w:jc w:val="center"/>
              <w:spacing w:line="276" w:lineRule="auto"/>
            </w:pPr>
            <w:r>
              <w:rPr>
                <w:rFonts w:hint="eastAsia" w:asciiTheme="minorEastAsia" w:hAnsiTheme="minorEastAsia"/>
                <w:sz w:val="24"/>
              </w:rPr>
              <w:t xml:space="preserve">（2分）</w:t>
            </w:r>
            <w:r/>
          </w:p>
        </w:tc>
        <w:tc>
          <w:tcPr>
            <w:tcW w:w="6493" w:type="dxa"/>
            <w:vAlign w:val="center"/>
            <w:textDirection w:val="lrTb"/>
            <w:noWrap w:val="false"/>
          </w:tcPr>
          <w:p>
            <w:pPr>
              <w:spacing w:line="360" w:lineRule="auto"/>
              <w:rPr>
                <w:rFonts w:asciiTheme="minorEastAsia" w:hAnsiTheme="minorEastAsia"/>
                <w:sz w:val="24"/>
                <w:highlight w:val="none"/>
              </w:rPr>
            </w:pPr>
            <w:r>
              <w:rPr>
                <w:rFonts w:hint="eastAsia" w:asciiTheme="minorEastAsia" w:hAnsiTheme="minorEastAsia"/>
                <w:sz w:val="24"/>
              </w:rPr>
              <w:t xml:space="preserve">1.投标标的属于财政部、国家发展改革委公布的“节能产品政府采购品目清单”范围内的，投标人提供国家确定的认证机构出具的、处于有效期之内的该节能产品认证证书扫描件的，</w:t>
            </w:r>
            <w:r>
              <w:rPr>
                <w:rFonts w:hint="eastAsia" w:asciiTheme="minorEastAsia" w:hAnsiTheme="minorEastAsia"/>
                <w:sz w:val="24"/>
                <w:highlight w:val="none"/>
              </w:rPr>
              <w:t xml:space="preserve">有1个得0.5分，最多得1分。如投标标的均属于政府强制采购节能产品品目清单范围内，本项不得分。</w:t>
            </w:r>
            <w:r/>
          </w:p>
          <w:p>
            <w:pPr>
              <w:spacing w:line="360" w:lineRule="auto"/>
              <w:rPr>
                <w:rFonts w:asciiTheme="minorEastAsia" w:hAnsiTheme="minorEastAsia"/>
                <w:sz w:val="24"/>
                <w:highlight w:val="none"/>
              </w:rPr>
            </w:pPr>
            <w:r>
              <w:rPr>
                <w:rFonts w:hint="eastAsia" w:asciiTheme="minorEastAsia" w:hAnsiTheme="minorEastAsia"/>
                <w:sz w:val="24"/>
                <w:highlight w:val="none"/>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p>
          <w:p>
            <w:pPr>
              <w:spacing w:line="360" w:lineRule="auto"/>
              <w:rPr>
                <w:rFonts w:hint="default" w:asciiTheme="minorEastAsia" w:hAnsiTheme="minorEastAsia" w:eastAsiaTheme="minorEastAsia"/>
                <w:b/>
                <w:sz w:val="24"/>
                <w:lang w:val="en-US" w:eastAsia="zh-CN"/>
              </w:rPr>
            </w:pPr>
            <w:r>
              <w:rPr>
                <w:rFonts w:hint="eastAsia" w:ascii="宋体" w:hAnsi="宋体" w:eastAsia="宋体" w:cs="宋体"/>
                <w:b/>
                <w:bCs/>
                <w:sz w:val="24"/>
                <w:szCs w:val="24"/>
                <w:highlight w:val="none"/>
              </w:rPr>
              <w:t xml:space="preserve">（投标人提供处于有效期内的认证证书扫描件</w:t>
            </w:r>
            <w:r>
              <w:rPr>
                <w:rFonts w:hint="eastAsia" w:ascii="宋体" w:hAnsi="宋体" w:eastAsia="宋体" w:cs="宋体"/>
                <w:b/>
                <w:bCs/>
                <w:sz w:val="24"/>
                <w:szCs w:val="24"/>
                <w:highlight w:val="none"/>
                <w:lang w:val="en-US" w:eastAsia="zh-CN"/>
              </w:rPr>
              <w:t xml:space="preserve">并加盖投标人公章</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否则不得分</w:t>
            </w:r>
            <w:r>
              <w:rPr>
                <w:rFonts w:hint="eastAsia" w:ascii="宋体" w:hAnsi="宋体" w:eastAsia="宋体" w:cs="宋体"/>
                <w:b/>
                <w:bCs/>
                <w:sz w:val="24"/>
                <w:szCs w:val="24"/>
                <w:highlight w:val="none"/>
              </w:rPr>
              <w:t xml:space="preserve">）</w:t>
            </w:r>
            <w:r/>
          </w:p>
        </w:tc>
      </w:tr>
    </w:tbl>
    <w:p>
      <w:pPr>
        <w:ind w:firstLine="482"/>
        <w:jc w:val="left"/>
        <w:spacing w:before="105" w:beforeAutospacing="0"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25</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101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w:t>
            </w:r>
            <w:r>
              <w:rPr>
                <w:rFonts w:hint="eastAsia" w:ascii="宋体" w:hAnsi="宋体" w:eastAsia="宋体" w:cs="宋体"/>
                <w:color w:val="000000"/>
                <w:sz w:val="24"/>
                <w:szCs w:val="24"/>
                <w:highlight w:val="none"/>
                <w:lang w:eastAsia="zh-CN" w:bidi="ar"/>
              </w:rPr>
              <w:t xml:space="preserve">实施</w:t>
            </w:r>
            <w:r>
              <w:rPr>
                <w:rFonts w:hint="eastAsia" w:ascii="宋体" w:hAnsi="宋体" w:eastAsia="宋体" w:cs="宋体"/>
                <w:color w:val="000000"/>
                <w:sz w:val="24"/>
                <w:szCs w:val="24"/>
                <w:highlight w:val="none"/>
                <w:lang w:bidi="ar"/>
              </w:rPr>
              <w:t xml:space="preserve">方案</w:t>
            </w:r>
            <w:r/>
          </w:p>
          <w:p>
            <w:pPr>
              <w:jc w:val="center"/>
              <w:keepLines w:val="0"/>
              <w:keepNext w:val="0"/>
              <w:pageBreakBefore w:val="0"/>
              <w:spacing w:line="500" w:lineRule="exact"/>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分）</w:t>
            </w:r>
            <w:r/>
          </w:p>
        </w:tc>
        <w:tc>
          <w:tcPr>
            <w:tcW w:w="6576" w:type="dxa"/>
            <w:vAlign w:val="center"/>
            <w:textDirection w:val="lrTb"/>
            <w:noWrap w:val="false"/>
          </w:tcPr>
          <w:p>
            <w:pPr>
              <w:keepLines w:val="0"/>
              <w:keepNext w:val="0"/>
              <w:pageBreakBefore w:val="0"/>
              <w:spacing w:line="500" w:lineRule="exact"/>
              <w:tabs>
                <w:tab w:val="left" w:pos="0" w:leader="none"/>
                <w:tab w:val="left" w:pos="993" w:leader="none"/>
                <w:tab w:val="left" w:pos="1134" w:leader="none"/>
              </w:tabs>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投标人应</w:t>
            </w:r>
            <w:r>
              <w:rPr>
                <w:rFonts w:hint="eastAsia" w:ascii="宋体" w:hAnsi="宋体" w:eastAsia="宋体" w:cs="宋体"/>
                <w:spacing w:val="-4"/>
                <w:sz w:val="24"/>
                <w:szCs w:val="24"/>
              </w:rPr>
              <w:t xml:space="preserve">根据本项目特点及空调安装的实际情况，制定完善的项目</w:t>
            </w:r>
            <w:r>
              <w:rPr>
                <w:rFonts w:hint="eastAsia" w:ascii="宋体" w:hAnsi="宋体" w:eastAsia="宋体" w:cs="宋体"/>
                <w:spacing w:val="-4"/>
                <w:sz w:val="24"/>
                <w:szCs w:val="24"/>
                <w:lang w:eastAsia="zh-CN"/>
              </w:rPr>
              <w:t xml:space="preserve">实施</w:t>
            </w:r>
            <w:r>
              <w:rPr>
                <w:rFonts w:hint="eastAsia" w:ascii="宋体" w:hAnsi="宋体" w:eastAsia="宋体" w:cs="宋体"/>
                <w:spacing w:val="-4"/>
                <w:sz w:val="24"/>
                <w:szCs w:val="24"/>
              </w:rPr>
              <w:t xml:space="preserve">方案</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包括但不限于项目总体概述</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安装调试实施方案</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项目施工（进度）方案等：</w:t>
            </w:r>
            <w:r/>
          </w:p>
          <w:p>
            <w:pPr>
              <w:keepLines w:val="0"/>
              <w:keepNext w:val="0"/>
              <w:pageBreakBefore w:val="0"/>
              <w:spacing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方案包含上述内容且针对性强，</w:t>
            </w:r>
            <w:r>
              <w:rPr>
                <w:rFonts w:hint="eastAsia" w:ascii="宋体" w:hAnsi="宋体" w:eastAsia="宋体" w:cs="宋体"/>
                <w:spacing w:val="-2"/>
                <w:sz w:val="24"/>
                <w:szCs w:val="24"/>
                <w:lang w:eastAsia="zh-CN"/>
              </w:rPr>
              <w:t xml:space="preserve">施工</w:t>
            </w:r>
            <w:r>
              <w:rPr>
                <w:rFonts w:hint="eastAsia" w:ascii="宋体" w:hAnsi="宋体" w:eastAsia="宋体" w:cs="宋体"/>
                <w:spacing w:val="-4"/>
                <w:sz w:val="24"/>
                <w:szCs w:val="24"/>
              </w:rPr>
              <w:t xml:space="preserve">前期准备工作、方法和步骤全面合理可行，</w:t>
            </w:r>
            <w:r>
              <w:rPr>
                <w:rFonts w:hint="eastAsia" w:ascii="宋体" w:hAnsi="宋体" w:eastAsia="宋体" w:cs="宋体"/>
                <w:spacing w:val="-2"/>
                <w:sz w:val="24"/>
                <w:szCs w:val="24"/>
                <w:highlight w:val="none"/>
              </w:rPr>
              <w:t xml:space="preserve">进度安排合理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满足交付时间要求，质量控制措施可操作性强，</w:t>
            </w:r>
            <w:r>
              <w:rPr>
                <w:rFonts w:hint="eastAsia" w:ascii="宋体" w:hAnsi="宋体" w:eastAsia="宋体" w:cs="宋体"/>
                <w:spacing w:val="-4"/>
                <w:sz w:val="24"/>
                <w:szCs w:val="24"/>
              </w:rPr>
              <w:t xml:space="preserve">施工安装调试计划完整</w:t>
            </w:r>
            <w:r>
              <w:rPr>
                <w:rFonts w:hint="eastAsia" w:ascii="宋体" w:hAnsi="宋体" w:eastAsia="宋体" w:cs="宋体"/>
                <w:spacing w:val="-4"/>
                <w:sz w:val="24"/>
                <w:szCs w:val="24"/>
                <w:lang w:val="en-US" w:eastAsia="zh-CN"/>
              </w:rPr>
              <w:t xml:space="preserve">的</w:t>
            </w:r>
            <w:r>
              <w:rPr>
                <w:rFonts w:hint="eastAsia" w:ascii="宋体" w:hAnsi="宋体" w:eastAsia="宋体" w:cs="宋体"/>
                <w:spacing w:val="-4"/>
                <w:sz w:val="24"/>
                <w:szCs w:val="24"/>
              </w:rPr>
              <w:t xml:space="preserve">，</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9</w:t>
            </w:r>
            <w:r>
              <w:rPr>
                <w:rFonts w:hint="eastAsia" w:ascii="宋体" w:hAnsi="宋体" w:eastAsia="宋体" w:cs="宋体"/>
                <w:b/>
                <w:bCs/>
                <w:spacing w:val="-2"/>
                <w:sz w:val="24"/>
                <w:szCs w:val="24"/>
              </w:rPr>
              <w:t xml:space="preserve">分；</w:t>
            </w:r>
            <w:r/>
          </w:p>
          <w:p>
            <w:pPr>
              <w:keepLines w:val="0"/>
              <w:keepNext w:val="0"/>
              <w:pageBreakBefore w:val="0"/>
              <w:spacing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方案包含上述内容</w:t>
            </w:r>
            <w:r>
              <w:rPr>
                <w:rFonts w:hint="eastAsia" w:ascii="宋体" w:hAnsi="宋体" w:eastAsia="宋体" w:cs="宋体"/>
                <w:spacing w:val="-4"/>
                <w:sz w:val="24"/>
                <w:szCs w:val="24"/>
              </w:rPr>
              <w:t xml:space="preserve">，施工前期准备工作、方法和步骤较合理可行，</w:t>
            </w:r>
            <w:r>
              <w:rPr>
                <w:rFonts w:hint="eastAsia" w:ascii="宋体" w:hAnsi="宋体" w:eastAsia="宋体" w:cs="宋体"/>
                <w:spacing w:val="-2"/>
                <w:sz w:val="24"/>
                <w:szCs w:val="24"/>
                <w:highlight w:val="none"/>
              </w:rPr>
              <w:t xml:space="preserve">进度安排比较合理</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满足交付时间要求，质量控制措施具有可操作性</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4"/>
                <w:sz w:val="24"/>
                <w:szCs w:val="24"/>
              </w:rPr>
              <w:t xml:space="preserve">施工安装调试计划较完整</w:t>
            </w:r>
            <w:r>
              <w:rPr>
                <w:rFonts w:hint="eastAsia" w:ascii="宋体" w:hAnsi="宋体" w:eastAsia="宋体" w:cs="宋体"/>
                <w:spacing w:val="-4"/>
                <w:sz w:val="24"/>
                <w:szCs w:val="24"/>
                <w:lang w:val="en-US" w:eastAsia="zh-CN"/>
              </w:rPr>
              <w:t xml:space="preserve">的</w:t>
            </w:r>
            <w:r>
              <w:rPr>
                <w:rFonts w:hint="eastAsia" w:ascii="宋体" w:hAnsi="宋体" w:eastAsia="宋体" w:cs="宋体"/>
                <w:spacing w:val="-4"/>
                <w:sz w:val="24"/>
                <w:szCs w:val="24"/>
              </w:rPr>
              <w:t xml:space="preserve">，</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7</w:t>
            </w:r>
            <w:r>
              <w:rPr>
                <w:rFonts w:hint="eastAsia" w:ascii="宋体" w:hAnsi="宋体" w:eastAsia="宋体" w:cs="宋体"/>
                <w:b/>
                <w:bCs/>
                <w:spacing w:val="-2"/>
                <w:sz w:val="24"/>
                <w:szCs w:val="24"/>
              </w:rPr>
              <w:t xml:space="preserve">分；</w:t>
            </w:r>
            <w:r/>
          </w:p>
          <w:p>
            <w:pPr>
              <w:keepLines w:val="0"/>
              <w:keepNext w:val="0"/>
              <w:pageBreakBefore w:val="0"/>
              <w:spacing w:line="500" w:lineRule="exact"/>
              <w:rPr>
                <w:rFonts w:hint="eastAsia" w:ascii="宋体" w:hAnsi="宋体" w:eastAsia="宋体" w:cs="宋体"/>
                <w:b/>
                <w:bCs/>
                <w:spacing w:val="-2"/>
                <w:sz w:val="24"/>
                <w:szCs w:val="24"/>
              </w:rPr>
            </w:pPr>
            <w:r>
              <w:rPr>
                <w:rFonts w:hint="eastAsia" w:ascii="宋体" w:hAnsi="宋体" w:eastAsia="宋体" w:cs="宋体"/>
                <w:spacing w:val="-2"/>
                <w:sz w:val="24"/>
                <w:szCs w:val="24"/>
              </w:rPr>
              <w:t xml:space="preserve">方案包含上述内容，</w:t>
            </w:r>
            <w:r>
              <w:rPr>
                <w:rFonts w:hint="eastAsia" w:ascii="宋体" w:hAnsi="宋体" w:eastAsia="宋体" w:cs="宋体"/>
                <w:spacing w:val="-4"/>
                <w:sz w:val="24"/>
                <w:szCs w:val="24"/>
              </w:rPr>
              <w:t xml:space="preserve">供货计划基本合理可行，施工前期准备工作、方法和步骤基本合理可行，</w:t>
            </w:r>
            <w:r>
              <w:rPr>
                <w:rFonts w:hint="eastAsia" w:ascii="宋体" w:hAnsi="宋体" w:eastAsia="宋体" w:cs="宋体"/>
                <w:spacing w:val="-2"/>
                <w:sz w:val="24"/>
                <w:szCs w:val="24"/>
                <w:highlight w:val="none"/>
              </w:rPr>
              <w:t xml:space="preserve">进度安排基本满足交付要求，质量控制措施一般</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4"/>
                <w:sz w:val="24"/>
                <w:szCs w:val="24"/>
              </w:rPr>
              <w:t xml:space="preserve">施工安装调试计划基本完整，</w:t>
            </w:r>
            <w:r>
              <w:rPr>
                <w:rFonts w:hint="eastAsia" w:ascii="宋体" w:hAnsi="宋体" w:eastAsia="宋体" w:cs="宋体"/>
                <w:spacing w:val="-2"/>
                <w:sz w:val="24"/>
                <w:szCs w:val="24"/>
              </w:rPr>
              <w:t xml:space="preserve">可行性一般</w:t>
            </w:r>
            <w:r>
              <w:rPr>
                <w:rFonts w:hint="eastAsia" w:ascii="宋体" w:hAnsi="宋体" w:eastAsia="宋体" w:cs="宋体"/>
                <w:spacing w:val="-2"/>
                <w:sz w:val="24"/>
                <w:szCs w:val="24"/>
                <w:lang w:val="en-US" w:eastAsia="zh-CN"/>
              </w:rPr>
              <w:t xml:space="preserve">的</w:t>
            </w:r>
            <w:r>
              <w:rPr>
                <w:rFonts w:hint="eastAsia" w:ascii="宋体" w:hAnsi="宋体" w:eastAsia="宋体" w:cs="宋体"/>
                <w:spacing w:val="-2"/>
                <w:sz w:val="24"/>
                <w:szCs w:val="24"/>
              </w:rPr>
              <w:t xml:space="preserve">，</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5</w:t>
            </w:r>
            <w:r>
              <w:rPr>
                <w:rFonts w:hint="eastAsia" w:ascii="宋体" w:hAnsi="宋体" w:eastAsia="宋体" w:cs="宋体"/>
                <w:b/>
                <w:bCs/>
                <w:spacing w:val="-2"/>
                <w:sz w:val="24"/>
                <w:szCs w:val="24"/>
              </w:rPr>
              <w:t xml:space="preserve">分；</w:t>
            </w:r>
            <w:r/>
          </w:p>
          <w:p>
            <w:pPr>
              <w:keepLines w:val="0"/>
              <w:keepNext w:val="0"/>
              <w:pageBreakBefore w:val="0"/>
              <w:spacing w:line="500" w:lineRule="exact"/>
              <w:rPr>
                <w:rFonts w:hint="eastAsia"/>
              </w:rPr>
            </w:pPr>
            <w:r>
              <w:rPr>
                <w:rFonts w:hint="eastAsia" w:ascii="宋体" w:hAnsi="宋体" w:eastAsia="宋体" w:cs="宋体"/>
                <w:spacing w:val="-2"/>
                <w:sz w:val="24"/>
                <w:szCs w:val="24"/>
              </w:rPr>
              <w:t xml:space="preserve">方案包含上述内容，</w:t>
            </w:r>
            <w:r>
              <w:rPr>
                <w:rFonts w:hint="eastAsia" w:ascii="宋体" w:hAnsi="宋体" w:eastAsia="宋体" w:cs="宋体"/>
                <w:spacing w:val="-4"/>
                <w:sz w:val="24"/>
                <w:szCs w:val="24"/>
              </w:rPr>
              <w:t xml:space="preserve">供货计划</w:t>
            </w:r>
            <w:r>
              <w:rPr>
                <w:rFonts w:hint="eastAsia" w:ascii="宋体" w:hAnsi="宋体" w:eastAsia="宋体" w:cs="宋体"/>
                <w:spacing w:val="-4"/>
                <w:sz w:val="24"/>
                <w:szCs w:val="24"/>
                <w:lang w:val="en-US" w:eastAsia="zh-CN"/>
              </w:rPr>
              <w:t xml:space="preserve">不够合理</w:t>
            </w:r>
            <w:r>
              <w:rPr>
                <w:rFonts w:hint="eastAsia" w:ascii="宋体" w:hAnsi="宋体" w:eastAsia="宋体" w:cs="宋体"/>
                <w:spacing w:val="-4"/>
                <w:sz w:val="24"/>
                <w:szCs w:val="24"/>
              </w:rPr>
              <w:t xml:space="preserve">，施工前期准备工作、方法和步骤</w:t>
            </w:r>
            <w:r>
              <w:rPr>
                <w:rFonts w:hint="eastAsia" w:ascii="宋体" w:hAnsi="宋体" w:eastAsia="宋体" w:cs="宋体"/>
                <w:spacing w:val="-4"/>
                <w:sz w:val="24"/>
                <w:szCs w:val="24"/>
                <w:lang w:val="en-US" w:eastAsia="zh-CN"/>
              </w:rPr>
              <w:t xml:space="preserve">不够合理</w:t>
            </w:r>
            <w:r>
              <w:rPr>
                <w:rFonts w:hint="eastAsia" w:ascii="宋体" w:hAnsi="宋体" w:eastAsia="宋体" w:cs="宋体"/>
                <w:spacing w:val="-4"/>
                <w:sz w:val="24"/>
                <w:szCs w:val="24"/>
              </w:rPr>
              <w:t xml:space="preserve">，</w:t>
            </w:r>
            <w:r>
              <w:rPr>
                <w:rFonts w:hint="eastAsia" w:ascii="宋体" w:hAnsi="宋体" w:eastAsia="宋体" w:cs="宋体"/>
                <w:spacing w:val="-2"/>
                <w:sz w:val="24"/>
                <w:szCs w:val="24"/>
                <w:highlight w:val="none"/>
              </w:rPr>
              <w:t xml:space="preserve">进度安排</w:t>
            </w:r>
            <w:r>
              <w:rPr>
                <w:rFonts w:hint="eastAsia" w:ascii="宋体" w:hAnsi="宋体" w:eastAsia="宋体" w:cs="宋体"/>
                <w:spacing w:val="-2"/>
                <w:sz w:val="24"/>
                <w:szCs w:val="24"/>
                <w:highlight w:val="none"/>
                <w:lang w:val="en-US" w:eastAsia="zh-CN"/>
              </w:rPr>
              <w:t xml:space="preserve">不够</w:t>
            </w:r>
            <w:r>
              <w:rPr>
                <w:rFonts w:hint="eastAsia" w:ascii="宋体" w:hAnsi="宋体" w:eastAsia="宋体" w:cs="宋体"/>
                <w:spacing w:val="-2"/>
                <w:sz w:val="24"/>
                <w:szCs w:val="24"/>
                <w:highlight w:val="none"/>
              </w:rPr>
              <w:t xml:space="preserve">满足交付要求，质量控制措施</w:t>
            </w:r>
            <w:r>
              <w:rPr>
                <w:rFonts w:hint="eastAsia" w:ascii="宋体" w:hAnsi="宋体" w:eastAsia="宋体" w:cs="宋体"/>
                <w:spacing w:val="-2"/>
                <w:sz w:val="24"/>
                <w:szCs w:val="24"/>
                <w:highlight w:val="none"/>
                <w:lang w:val="en-US" w:eastAsia="zh-CN"/>
              </w:rPr>
              <w:t xml:space="preserve">较差</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4"/>
                <w:sz w:val="24"/>
                <w:szCs w:val="24"/>
              </w:rPr>
              <w:t xml:space="preserve">施工安装调试计划</w:t>
            </w:r>
            <w:r>
              <w:rPr>
                <w:rFonts w:hint="eastAsia" w:ascii="宋体" w:hAnsi="宋体" w:eastAsia="宋体" w:cs="宋体"/>
                <w:spacing w:val="-4"/>
                <w:sz w:val="24"/>
                <w:szCs w:val="24"/>
                <w:lang w:val="en-US" w:eastAsia="zh-CN"/>
              </w:rPr>
              <w:t xml:space="preserve">不够合理</w:t>
            </w:r>
            <w:r>
              <w:rPr>
                <w:rFonts w:hint="eastAsia" w:ascii="宋体" w:hAnsi="宋体" w:eastAsia="宋体" w:cs="宋体"/>
                <w:spacing w:val="-4"/>
                <w:sz w:val="24"/>
                <w:szCs w:val="24"/>
              </w:rPr>
              <w:t xml:space="preserve">，</w:t>
            </w:r>
            <w:r>
              <w:rPr>
                <w:rFonts w:hint="eastAsia" w:ascii="宋体" w:hAnsi="宋体" w:eastAsia="宋体" w:cs="宋体"/>
                <w:spacing w:val="-2"/>
                <w:sz w:val="24"/>
                <w:szCs w:val="24"/>
              </w:rPr>
              <w:t xml:space="preserve">可行性</w:t>
            </w:r>
            <w:r>
              <w:rPr>
                <w:rFonts w:hint="eastAsia" w:ascii="宋体" w:hAnsi="宋体" w:eastAsia="宋体" w:cs="宋体"/>
                <w:spacing w:val="-2"/>
                <w:sz w:val="24"/>
                <w:szCs w:val="24"/>
                <w:lang w:val="en-US" w:eastAsia="zh-CN"/>
              </w:rPr>
              <w:t xml:space="preserve">较差的</w:t>
            </w:r>
            <w:r>
              <w:rPr>
                <w:rFonts w:hint="eastAsia" w:ascii="宋体" w:hAnsi="宋体" w:eastAsia="宋体" w:cs="宋体"/>
                <w:spacing w:val="-2"/>
                <w:sz w:val="24"/>
                <w:szCs w:val="24"/>
              </w:rPr>
              <w:t xml:space="preserve">，</w:t>
            </w:r>
            <w:r>
              <w:rPr>
                <w:rFonts w:hint="eastAsia" w:ascii="宋体" w:hAnsi="宋体" w:eastAsia="宋体" w:cs="宋体"/>
                <w:b/>
                <w:bCs/>
                <w:spacing w:val="-2"/>
                <w:sz w:val="24"/>
                <w:szCs w:val="24"/>
              </w:rPr>
              <w:t xml:space="preserve">得</w:t>
            </w:r>
            <w:r>
              <w:rPr>
                <w:rFonts w:hint="eastAsia" w:ascii="宋体" w:hAnsi="宋体" w:eastAsia="宋体" w:cs="宋体"/>
                <w:b/>
                <w:bCs/>
                <w:spacing w:val="-2"/>
                <w:sz w:val="24"/>
                <w:szCs w:val="24"/>
                <w:lang w:val="en-US" w:eastAsia="zh-CN"/>
              </w:rPr>
              <w:t xml:space="preserve">3</w:t>
            </w:r>
            <w:r>
              <w:rPr>
                <w:rFonts w:hint="eastAsia" w:ascii="宋体" w:hAnsi="宋体" w:eastAsia="宋体" w:cs="宋体"/>
                <w:b/>
                <w:bCs/>
                <w:spacing w:val="-2"/>
                <w:sz w:val="24"/>
                <w:szCs w:val="24"/>
              </w:rPr>
              <w:t xml:space="preserve">分；</w:t>
            </w:r>
            <w:r/>
          </w:p>
          <w:p>
            <w:pPr>
              <w:jc w:val="left"/>
              <w:keepLines w:val="0"/>
              <w:keepNext w:val="0"/>
              <w:pageBreakBefore w:val="0"/>
              <w:spacing w:line="500" w:lineRule="exact"/>
            </w:pPr>
            <w:r>
              <w:rPr>
                <w:rFonts w:hint="eastAsia" w:ascii="宋体" w:hAnsi="宋体" w:eastAsia="宋体" w:cs="宋体"/>
                <w:b/>
                <w:bCs/>
                <w:spacing w:val="-2"/>
                <w:sz w:val="24"/>
                <w:szCs w:val="24"/>
              </w:rPr>
              <w:t xml:space="preserve">未见阐述不得分。</w:t>
            </w:r>
            <w:r/>
          </w:p>
        </w:tc>
      </w:tr>
      <w:tr>
        <w:trPr>
          <w:jc w:val="center"/>
          <w:trHeight w:val="621"/>
        </w:trPr>
        <w:tc>
          <w:tcPr>
            <w:tcW w:w="1754" w:type="dxa"/>
            <w:vAlign w:val="center"/>
            <w:textDirection w:val="lrTb"/>
            <w:noWrap w:val="false"/>
          </w:tcPr>
          <w:p>
            <w:pPr>
              <w:jc w:val="center"/>
              <w:keepLines w:val="0"/>
              <w:keepNext w:val="0"/>
              <w:pageBreakBefore w:val="0"/>
              <w:spacing w:line="500" w:lineRule="exact"/>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eastAsia="zh-CN"/>
              </w:rPr>
              <w:t xml:space="preserve">人员配置</w:t>
            </w:r>
            <w:r>
              <w:rPr>
                <w:rFonts w:hint="eastAsia" w:ascii="宋体" w:hAnsi="宋体" w:eastAsia="宋体" w:cs="宋体"/>
                <w:spacing w:val="-4"/>
                <w:sz w:val="24"/>
                <w:szCs w:val="24"/>
                <w:lang w:val="en-US" w:eastAsia="zh-CN"/>
              </w:rPr>
              <w:t xml:space="preserve">方案</w:t>
            </w:r>
            <w:r/>
          </w:p>
          <w:p>
            <w:pPr>
              <w:jc w:val="center"/>
              <w:keepLines w:val="0"/>
              <w:keepNext w:val="0"/>
              <w:pageBreakBefore w:val="0"/>
              <w:spacing w:line="500" w:lineRule="exact"/>
            </w:pPr>
            <w:r>
              <w:rPr>
                <w:rFonts w:hint="eastAsia" w:ascii="宋体" w:hAnsi="宋体" w:eastAsia="宋体" w:cs="宋体"/>
                <w:spacing w:val="-4"/>
                <w:sz w:val="24"/>
                <w:szCs w:val="24"/>
                <w:lang w:val="en-US" w:eastAsia="zh-CN"/>
              </w:rPr>
              <w:t xml:space="preserve">（8分）</w:t>
            </w:r>
            <w:r/>
          </w:p>
        </w:tc>
        <w:tc>
          <w:tcPr>
            <w:tcW w:w="6576" w:type="dxa"/>
            <w:vAlign w:val="center"/>
            <w:textDirection w:val="lrTb"/>
            <w:noWrap w:val="false"/>
          </w:tcPr>
          <w:p>
            <w:pPr>
              <w:jc w:val="left"/>
              <w:keepLines w:val="0"/>
              <w:keepNext w:val="0"/>
              <w:pageBreakBefore w:val="0"/>
              <w:spacing w:line="500" w:lineRule="exact"/>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投标人应</w:t>
            </w:r>
            <w:r>
              <w:rPr>
                <w:rFonts w:hint="eastAsia" w:ascii="宋体" w:hAnsi="宋体" w:eastAsia="宋体" w:cs="宋体"/>
                <w:spacing w:val="-4"/>
                <w:sz w:val="24"/>
                <w:szCs w:val="24"/>
              </w:rPr>
              <w:t xml:space="preserve">根据本项目特点及空调安装的实际情况，针对本项目设置分工明确的</w:t>
            </w:r>
            <w:r>
              <w:rPr>
                <w:rFonts w:hint="eastAsia" w:ascii="宋体" w:hAnsi="宋体" w:eastAsia="宋体" w:cs="宋体"/>
                <w:spacing w:val="-4"/>
                <w:sz w:val="24"/>
                <w:szCs w:val="24"/>
                <w:lang w:eastAsia="zh-CN"/>
              </w:rPr>
              <w:t xml:space="preserve">人员</w:t>
            </w:r>
            <w:r>
              <w:rPr>
                <w:rFonts w:hint="eastAsia" w:ascii="宋体" w:hAnsi="宋体" w:eastAsia="宋体" w:cs="宋体"/>
                <w:spacing w:val="-4"/>
                <w:sz w:val="24"/>
                <w:szCs w:val="24"/>
              </w:rPr>
              <w:t xml:space="preserve">团队，制定完善的项目</w:t>
            </w:r>
            <w:r>
              <w:rPr>
                <w:rFonts w:hint="eastAsia" w:ascii="宋体" w:hAnsi="宋体" w:eastAsia="宋体" w:cs="宋体"/>
                <w:spacing w:val="-4"/>
                <w:sz w:val="24"/>
                <w:szCs w:val="24"/>
                <w:lang w:eastAsia="zh-CN"/>
              </w:rPr>
              <w:t xml:space="preserve">人员配置方案</w:t>
            </w:r>
            <w:r>
              <w:rPr>
                <w:rFonts w:hint="eastAsia" w:ascii="宋体" w:hAnsi="宋体" w:eastAsia="宋体" w:cs="宋体"/>
                <w:spacing w:val="-4"/>
                <w:sz w:val="24"/>
                <w:szCs w:val="24"/>
                <w:lang w:val="en-US" w:eastAsia="zh-CN"/>
              </w:rPr>
              <w:t xml:space="preserve">等</w:t>
            </w:r>
            <w:r>
              <w:rPr>
                <w:rFonts w:hint="eastAsia" w:ascii="宋体" w:hAnsi="宋体" w:eastAsia="宋体" w:cs="宋体"/>
                <w:spacing w:val="-4"/>
                <w:sz w:val="24"/>
                <w:szCs w:val="24"/>
                <w:lang w:eastAsia="zh-CN"/>
              </w:rPr>
              <w:t xml:space="preserve">：</w:t>
            </w:r>
            <w:r/>
          </w:p>
          <w:p>
            <w:pPr>
              <w:jc w:val="left"/>
              <w:keepLines w:val="0"/>
              <w:keepNext w:val="0"/>
              <w:pageBreakBefore w:val="0"/>
              <w:spacing w:line="500" w:lineRule="exact"/>
              <w:rPr>
                <w:rFonts w:hint="eastAsia" w:ascii="宋体" w:hAnsi="宋体" w:eastAsia="宋体" w:cs="宋体"/>
                <w:b/>
                <w:bCs/>
                <w:spacing w:val="-4"/>
                <w:sz w:val="24"/>
                <w:szCs w:val="24"/>
                <w:lang w:eastAsia="zh-CN"/>
              </w:rPr>
            </w:pPr>
            <w:r>
              <w:rPr>
                <w:rFonts w:hint="eastAsia" w:ascii="宋体" w:hAnsi="宋体" w:eastAsia="宋体" w:cs="宋体"/>
                <w:spacing w:val="-4"/>
                <w:sz w:val="24"/>
                <w:szCs w:val="24"/>
                <w:lang w:eastAsia="zh-CN"/>
              </w:rPr>
              <w:t xml:space="preserve">方案包含上述内容，</w:t>
            </w:r>
            <w:r>
              <w:rPr>
                <w:rFonts w:hint="eastAsia" w:ascii="宋体" w:hAnsi="宋体" w:eastAsia="宋体" w:cs="宋体"/>
                <w:spacing w:val="-4"/>
                <w:sz w:val="24"/>
                <w:szCs w:val="24"/>
                <w:lang w:val="en-US" w:eastAsia="zh-CN"/>
              </w:rPr>
              <w:t xml:space="preserve">人员团队配置</w:t>
            </w:r>
            <w:r>
              <w:rPr>
                <w:rFonts w:hint="eastAsia" w:ascii="宋体" w:hAnsi="宋体" w:eastAsia="宋体" w:cs="宋体"/>
                <w:spacing w:val="-4"/>
                <w:sz w:val="24"/>
                <w:szCs w:val="24"/>
                <w:lang w:eastAsia="zh-CN"/>
              </w:rPr>
              <w:t xml:space="preserve">针对性强，责任分工</w:t>
            </w:r>
            <w:r>
              <w:rPr>
                <w:rFonts w:hint="eastAsia" w:ascii="宋体" w:hAnsi="宋体" w:eastAsia="宋体" w:cs="宋体"/>
                <w:spacing w:val="-4"/>
                <w:sz w:val="24"/>
                <w:szCs w:val="24"/>
                <w:lang w:val="en-US" w:eastAsia="zh-CN"/>
              </w:rPr>
              <w:t xml:space="preserve">明确，科学性强、各人员安装调试流程的合理、</w:t>
            </w:r>
            <w:r>
              <w:rPr>
                <w:rFonts w:hint="eastAsia" w:ascii="宋体" w:hAnsi="宋体" w:eastAsia="宋体" w:cs="宋体"/>
                <w:spacing w:val="-4"/>
                <w:sz w:val="24"/>
                <w:szCs w:val="24"/>
                <w:lang w:eastAsia="zh-CN"/>
              </w:rPr>
              <w:t xml:space="preserve">完整</w:t>
            </w:r>
            <w:r>
              <w:rPr>
                <w:rFonts w:hint="eastAsia" w:ascii="宋体" w:hAnsi="宋体" w:eastAsia="宋体" w:cs="宋体"/>
                <w:spacing w:val="-4"/>
                <w:sz w:val="24"/>
                <w:szCs w:val="24"/>
                <w:lang w:val="en-US" w:eastAsia="zh-CN"/>
              </w:rPr>
              <w:t xml:space="preserve">性</w:t>
            </w:r>
            <w:r>
              <w:rPr>
                <w:rFonts w:hint="eastAsia" w:ascii="宋体" w:hAnsi="宋体" w:eastAsia="宋体" w:cs="宋体"/>
                <w:spacing w:val="-4"/>
                <w:sz w:val="24"/>
                <w:szCs w:val="24"/>
                <w:lang w:eastAsia="zh-CN"/>
              </w:rPr>
              <w:t xml:space="preserve">可行</w:t>
            </w:r>
            <w:r>
              <w:rPr>
                <w:rFonts w:hint="eastAsia" w:ascii="宋体" w:hAnsi="宋体" w:eastAsia="宋体" w:cs="宋体"/>
                <w:spacing w:val="-4"/>
                <w:sz w:val="24"/>
                <w:szCs w:val="24"/>
                <w:lang w:val="en-US" w:eastAsia="zh-CN"/>
              </w:rPr>
              <w:t xml:space="preserve">性强的</w:t>
            </w:r>
            <w:r>
              <w:rPr>
                <w:rFonts w:hint="eastAsia" w:ascii="宋体" w:hAnsi="宋体" w:eastAsia="宋体" w:cs="宋体"/>
                <w:spacing w:val="-4"/>
                <w:sz w:val="24"/>
                <w:szCs w:val="24"/>
                <w:lang w:eastAsia="zh-CN"/>
              </w:rPr>
              <w:t xml:space="preserve">，</w:t>
            </w:r>
            <w:r>
              <w:rPr>
                <w:rFonts w:hint="eastAsia" w:ascii="宋体" w:hAnsi="宋体" w:eastAsia="宋体" w:cs="宋体"/>
                <w:b/>
                <w:bCs/>
                <w:spacing w:val="-4"/>
                <w:sz w:val="24"/>
                <w:szCs w:val="24"/>
                <w:lang w:val="zh-CN" w:eastAsia="zh-CN"/>
              </w:rPr>
              <w:t xml:space="preserve">得</w:t>
            </w:r>
            <w:r>
              <w:rPr>
                <w:rFonts w:hint="eastAsia" w:ascii="宋体" w:hAnsi="宋体" w:eastAsia="宋体" w:cs="宋体"/>
                <w:b/>
                <w:bCs/>
                <w:spacing w:val="-4"/>
                <w:sz w:val="24"/>
                <w:szCs w:val="24"/>
                <w:lang w:val="en-US" w:eastAsia="zh-CN"/>
              </w:rPr>
              <w:t xml:space="preserve">8</w:t>
            </w:r>
            <w:r>
              <w:rPr>
                <w:rFonts w:hint="eastAsia" w:ascii="宋体" w:hAnsi="宋体" w:eastAsia="宋体" w:cs="宋体"/>
                <w:b/>
                <w:bCs/>
                <w:spacing w:val="-4"/>
                <w:sz w:val="24"/>
                <w:szCs w:val="24"/>
                <w:lang w:eastAsia="zh-CN"/>
              </w:rPr>
              <w:t xml:space="preserve">分；</w:t>
            </w:r>
            <w:r/>
          </w:p>
          <w:p>
            <w:pPr>
              <w:jc w:val="left"/>
              <w:keepLines w:val="0"/>
              <w:keepNext w:val="0"/>
              <w:pageBreakBefore w:val="0"/>
              <w:spacing w:line="500" w:lineRule="exact"/>
              <w:rPr>
                <w:rFonts w:hint="eastAsia" w:ascii="宋体" w:hAnsi="宋体" w:eastAsia="宋体" w:cs="宋体"/>
                <w:b/>
                <w:bCs/>
                <w:spacing w:val="-4"/>
                <w:sz w:val="24"/>
                <w:szCs w:val="24"/>
                <w:lang w:eastAsia="zh-CN"/>
              </w:rPr>
            </w:pPr>
            <w:r>
              <w:rPr>
                <w:rFonts w:hint="eastAsia" w:ascii="宋体" w:hAnsi="宋体" w:eastAsia="宋体" w:cs="宋体"/>
                <w:spacing w:val="-4"/>
                <w:sz w:val="24"/>
                <w:szCs w:val="24"/>
                <w:lang w:eastAsia="zh-CN"/>
              </w:rPr>
              <w:t xml:space="preserve">方案包含上述内容，</w:t>
            </w:r>
            <w:r>
              <w:rPr>
                <w:rFonts w:hint="eastAsia" w:ascii="宋体" w:hAnsi="宋体" w:eastAsia="宋体" w:cs="宋体"/>
                <w:spacing w:val="-4"/>
                <w:sz w:val="24"/>
                <w:szCs w:val="24"/>
                <w:lang w:val="en-US" w:eastAsia="zh-CN"/>
              </w:rPr>
              <w:t xml:space="preserve">人员团队配置</w:t>
            </w:r>
            <w:r>
              <w:rPr>
                <w:rFonts w:hint="eastAsia" w:ascii="宋体" w:hAnsi="宋体" w:eastAsia="宋体" w:cs="宋体"/>
                <w:spacing w:val="-4"/>
                <w:sz w:val="24"/>
                <w:szCs w:val="24"/>
                <w:lang w:eastAsia="zh-CN"/>
              </w:rPr>
              <w:t xml:space="preserve">针对性</w:t>
            </w:r>
            <w:r>
              <w:rPr>
                <w:rFonts w:hint="eastAsia" w:ascii="宋体" w:hAnsi="宋体" w:eastAsia="宋体" w:cs="宋体"/>
                <w:spacing w:val="-4"/>
                <w:sz w:val="24"/>
                <w:szCs w:val="24"/>
                <w:lang w:val="en-US" w:eastAsia="zh-CN"/>
              </w:rPr>
              <w:t xml:space="preserve">较</w:t>
            </w:r>
            <w:r>
              <w:rPr>
                <w:rFonts w:hint="eastAsia" w:ascii="宋体" w:hAnsi="宋体" w:eastAsia="宋体" w:cs="宋体"/>
                <w:spacing w:val="-4"/>
                <w:sz w:val="24"/>
                <w:szCs w:val="24"/>
                <w:lang w:eastAsia="zh-CN"/>
              </w:rPr>
              <w:t xml:space="preserve">强，责任分工</w:t>
            </w:r>
            <w:r>
              <w:rPr>
                <w:rFonts w:hint="eastAsia" w:ascii="宋体" w:hAnsi="宋体" w:eastAsia="宋体" w:cs="宋体"/>
                <w:spacing w:val="-4"/>
                <w:sz w:val="24"/>
                <w:szCs w:val="24"/>
                <w:lang w:val="en-US" w:eastAsia="zh-CN"/>
              </w:rPr>
              <w:t xml:space="preserve">较明确，科学性较强、各人员安装调试流程的合理、</w:t>
            </w:r>
            <w:r>
              <w:rPr>
                <w:rFonts w:hint="eastAsia" w:ascii="宋体" w:hAnsi="宋体" w:eastAsia="宋体" w:cs="宋体"/>
                <w:spacing w:val="-4"/>
                <w:sz w:val="24"/>
                <w:szCs w:val="24"/>
                <w:lang w:eastAsia="zh-CN"/>
              </w:rPr>
              <w:t xml:space="preserve">完整</w:t>
            </w:r>
            <w:r>
              <w:rPr>
                <w:rFonts w:hint="eastAsia" w:ascii="宋体" w:hAnsi="宋体" w:eastAsia="宋体" w:cs="宋体"/>
                <w:spacing w:val="-4"/>
                <w:sz w:val="24"/>
                <w:szCs w:val="24"/>
                <w:lang w:val="en-US" w:eastAsia="zh-CN"/>
              </w:rPr>
              <w:t xml:space="preserve">性</w:t>
            </w:r>
            <w:r>
              <w:rPr>
                <w:rFonts w:hint="eastAsia" w:ascii="宋体" w:hAnsi="宋体" w:eastAsia="宋体" w:cs="宋体"/>
                <w:spacing w:val="-4"/>
                <w:sz w:val="24"/>
                <w:szCs w:val="24"/>
                <w:lang w:eastAsia="zh-CN"/>
              </w:rPr>
              <w:t xml:space="preserve">可行</w:t>
            </w:r>
            <w:r>
              <w:rPr>
                <w:rFonts w:hint="eastAsia" w:ascii="宋体" w:hAnsi="宋体" w:eastAsia="宋体" w:cs="宋体"/>
                <w:spacing w:val="-4"/>
                <w:sz w:val="24"/>
                <w:szCs w:val="24"/>
                <w:lang w:val="en-US" w:eastAsia="zh-CN"/>
              </w:rPr>
              <w:t xml:space="preserve">性较强的</w:t>
            </w:r>
            <w:r>
              <w:rPr>
                <w:rFonts w:hint="eastAsia" w:ascii="宋体" w:hAnsi="宋体" w:eastAsia="宋体" w:cs="宋体"/>
                <w:spacing w:val="-4"/>
                <w:sz w:val="24"/>
                <w:szCs w:val="24"/>
                <w:lang w:eastAsia="zh-CN"/>
              </w:rPr>
              <w:t xml:space="preserve">，</w:t>
            </w:r>
            <w:r>
              <w:rPr>
                <w:rFonts w:hint="eastAsia" w:ascii="宋体" w:hAnsi="宋体" w:eastAsia="宋体" w:cs="宋体"/>
                <w:b/>
                <w:bCs/>
                <w:spacing w:val="-4"/>
                <w:sz w:val="24"/>
                <w:szCs w:val="24"/>
                <w:lang w:val="zh-CN" w:eastAsia="zh-CN"/>
              </w:rPr>
              <w:t xml:space="preserve">得</w:t>
            </w:r>
            <w:r>
              <w:rPr>
                <w:rFonts w:hint="eastAsia" w:ascii="宋体" w:hAnsi="宋体" w:eastAsia="宋体" w:cs="宋体"/>
                <w:b/>
                <w:bCs/>
                <w:spacing w:val="-4"/>
                <w:sz w:val="24"/>
                <w:szCs w:val="24"/>
                <w:lang w:val="en-US" w:eastAsia="zh-CN"/>
              </w:rPr>
              <w:t xml:space="preserve">6</w:t>
            </w:r>
            <w:r>
              <w:rPr>
                <w:rFonts w:hint="eastAsia" w:ascii="宋体" w:hAnsi="宋体" w:eastAsia="宋体" w:cs="宋体"/>
                <w:b/>
                <w:bCs/>
                <w:spacing w:val="-4"/>
                <w:sz w:val="24"/>
                <w:szCs w:val="24"/>
                <w:lang w:eastAsia="zh-CN"/>
              </w:rPr>
              <w:t xml:space="preserve">分；</w:t>
            </w:r>
            <w:r/>
          </w:p>
          <w:p>
            <w:pPr>
              <w:jc w:val="left"/>
              <w:keepLines w:val="0"/>
              <w:keepNext w:val="0"/>
              <w:pageBreakBefore w:val="0"/>
              <w:spacing w:line="500" w:lineRule="exact"/>
              <w:rPr>
                <w:rFonts w:hint="eastAsia" w:ascii="宋体" w:hAnsi="宋体" w:eastAsia="宋体" w:cs="宋体"/>
                <w:b/>
                <w:bCs/>
                <w:spacing w:val="-4"/>
                <w:sz w:val="24"/>
                <w:szCs w:val="24"/>
                <w:lang w:eastAsia="zh-CN"/>
              </w:rPr>
            </w:pPr>
            <w:r>
              <w:rPr>
                <w:rFonts w:hint="eastAsia" w:ascii="宋体" w:hAnsi="宋体" w:eastAsia="宋体" w:cs="宋体"/>
                <w:spacing w:val="-4"/>
                <w:sz w:val="24"/>
                <w:szCs w:val="24"/>
                <w:lang w:eastAsia="zh-CN"/>
              </w:rPr>
              <w:t xml:space="preserve">方案包含上述内容，</w:t>
            </w:r>
            <w:r>
              <w:rPr>
                <w:rFonts w:hint="eastAsia" w:ascii="宋体" w:hAnsi="宋体" w:eastAsia="宋体" w:cs="宋体"/>
                <w:spacing w:val="-4"/>
                <w:sz w:val="24"/>
                <w:szCs w:val="24"/>
                <w:lang w:val="en-US" w:eastAsia="zh-CN"/>
              </w:rPr>
              <w:t xml:space="preserve">人员团队配置</w:t>
            </w:r>
            <w:r>
              <w:rPr>
                <w:rFonts w:hint="eastAsia" w:ascii="宋体" w:hAnsi="宋体" w:eastAsia="宋体" w:cs="宋体"/>
                <w:spacing w:val="-4"/>
                <w:sz w:val="24"/>
                <w:szCs w:val="24"/>
                <w:lang w:eastAsia="zh-CN"/>
              </w:rPr>
              <w:t xml:space="preserve">针对性</w:t>
            </w:r>
            <w:r>
              <w:rPr>
                <w:rFonts w:hint="eastAsia" w:ascii="宋体" w:hAnsi="宋体" w:eastAsia="宋体" w:cs="宋体"/>
                <w:spacing w:val="-4"/>
                <w:sz w:val="24"/>
                <w:szCs w:val="24"/>
                <w:lang w:val="en-US" w:eastAsia="zh-CN"/>
              </w:rPr>
              <w:t xml:space="preserve">一般</w:t>
            </w:r>
            <w:r>
              <w:rPr>
                <w:rFonts w:hint="eastAsia" w:ascii="宋体" w:hAnsi="宋体" w:eastAsia="宋体" w:cs="宋体"/>
                <w:spacing w:val="-4"/>
                <w:sz w:val="24"/>
                <w:szCs w:val="24"/>
                <w:lang w:eastAsia="zh-CN"/>
              </w:rPr>
              <w:t xml:space="preserve">，责任分工</w:t>
            </w:r>
            <w:r>
              <w:rPr>
                <w:rFonts w:hint="eastAsia" w:ascii="宋体" w:hAnsi="宋体" w:eastAsia="宋体" w:cs="宋体"/>
                <w:spacing w:val="-4"/>
                <w:sz w:val="24"/>
                <w:szCs w:val="24"/>
                <w:lang w:val="en-US" w:eastAsia="zh-CN"/>
              </w:rPr>
              <w:t xml:space="preserve">较一般，各人员安装调试流程的合理、</w:t>
            </w:r>
            <w:r>
              <w:rPr>
                <w:rFonts w:hint="eastAsia" w:ascii="宋体" w:hAnsi="宋体" w:eastAsia="宋体" w:cs="宋体"/>
                <w:spacing w:val="-4"/>
                <w:sz w:val="24"/>
                <w:szCs w:val="24"/>
                <w:lang w:eastAsia="zh-CN"/>
              </w:rPr>
              <w:t xml:space="preserve">完整</w:t>
            </w:r>
            <w:r>
              <w:rPr>
                <w:rFonts w:hint="eastAsia" w:ascii="宋体" w:hAnsi="宋体" w:eastAsia="宋体" w:cs="宋体"/>
                <w:spacing w:val="-4"/>
                <w:sz w:val="24"/>
                <w:szCs w:val="24"/>
                <w:lang w:val="en-US" w:eastAsia="zh-CN"/>
              </w:rPr>
              <w:t xml:space="preserve">性</w:t>
            </w:r>
            <w:r>
              <w:rPr>
                <w:rFonts w:hint="eastAsia" w:ascii="宋体" w:hAnsi="宋体" w:eastAsia="宋体" w:cs="宋体"/>
                <w:spacing w:val="-4"/>
                <w:sz w:val="24"/>
                <w:szCs w:val="24"/>
                <w:lang w:eastAsia="zh-CN"/>
              </w:rPr>
              <w:t xml:space="preserve">可行</w:t>
            </w:r>
            <w:r>
              <w:rPr>
                <w:rFonts w:hint="eastAsia" w:ascii="宋体" w:hAnsi="宋体" w:eastAsia="宋体" w:cs="宋体"/>
                <w:spacing w:val="-4"/>
                <w:sz w:val="24"/>
                <w:szCs w:val="24"/>
                <w:lang w:val="en-US" w:eastAsia="zh-CN"/>
              </w:rPr>
              <w:t xml:space="preserve">性一般的</w:t>
            </w:r>
            <w:r>
              <w:rPr>
                <w:rFonts w:hint="eastAsia" w:ascii="宋体" w:hAnsi="宋体" w:eastAsia="宋体" w:cs="宋体"/>
                <w:spacing w:val="-4"/>
                <w:sz w:val="24"/>
                <w:szCs w:val="24"/>
                <w:lang w:eastAsia="zh-CN"/>
              </w:rPr>
              <w:t xml:space="preserve">，</w:t>
            </w:r>
            <w:r>
              <w:rPr>
                <w:rFonts w:hint="eastAsia" w:ascii="宋体" w:hAnsi="宋体" w:eastAsia="宋体" w:cs="宋体"/>
                <w:b/>
                <w:bCs/>
                <w:spacing w:val="-4"/>
                <w:sz w:val="24"/>
                <w:szCs w:val="24"/>
                <w:lang w:val="zh-CN" w:eastAsia="zh-CN"/>
              </w:rPr>
              <w:t xml:space="preserve">得</w:t>
            </w:r>
            <w:r>
              <w:rPr>
                <w:rFonts w:hint="eastAsia" w:ascii="宋体" w:hAnsi="宋体" w:eastAsia="宋体" w:cs="宋体"/>
                <w:b/>
                <w:bCs/>
                <w:spacing w:val="-4"/>
                <w:sz w:val="24"/>
                <w:szCs w:val="24"/>
                <w:lang w:val="en-US" w:eastAsia="zh-CN"/>
              </w:rPr>
              <w:t xml:space="preserve">4</w:t>
            </w:r>
            <w:r>
              <w:rPr>
                <w:rFonts w:hint="eastAsia" w:ascii="宋体" w:hAnsi="宋体" w:eastAsia="宋体" w:cs="宋体"/>
                <w:b/>
                <w:bCs/>
                <w:spacing w:val="-4"/>
                <w:sz w:val="24"/>
                <w:szCs w:val="24"/>
                <w:lang w:eastAsia="zh-CN"/>
              </w:rPr>
              <w:t xml:space="preserve">分；</w:t>
            </w:r>
            <w:r/>
          </w:p>
          <w:p>
            <w:pPr>
              <w:jc w:val="left"/>
              <w:keepLines w:val="0"/>
              <w:keepNext w:val="0"/>
              <w:pageBreakBefore w:val="0"/>
              <w:spacing w:line="500" w:lineRule="exact"/>
              <w:rPr>
                <w:rFonts w:hint="eastAsia"/>
                <w:lang w:eastAsia="zh-CN"/>
              </w:rPr>
            </w:pPr>
            <w:r>
              <w:rPr>
                <w:rFonts w:hint="eastAsia" w:ascii="宋体" w:hAnsi="宋体" w:eastAsia="宋体" w:cs="宋体"/>
                <w:spacing w:val="-4"/>
                <w:sz w:val="24"/>
                <w:szCs w:val="24"/>
                <w:lang w:eastAsia="zh-CN"/>
              </w:rPr>
              <w:t xml:space="preserve">方案包含上述内容，</w:t>
            </w:r>
            <w:r>
              <w:rPr>
                <w:rFonts w:hint="eastAsia" w:ascii="宋体" w:hAnsi="宋体" w:eastAsia="宋体" w:cs="宋体"/>
                <w:spacing w:val="-4"/>
                <w:sz w:val="24"/>
                <w:szCs w:val="24"/>
                <w:lang w:val="en-US" w:eastAsia="zh-CN"/>
              </w:rPr>
              <w:t xml:space="preserve">人员团队配置</w:t>
            </w:r>
            <w:r>
              <w:rPr>
                <w:rFonts w:hint="eastAsia" w:ascii="宋体" w:hAnsi="宋体" w:eastAsia="宋体" w:cs="宋体"/>
                <w:spacing w:val="-4"/>
                <w:sz w:val="24"/>
                <w:szCs w:val="24"/>
                <w:lang w:eastAsia="zh-CN"/>
              </w:rPr>
              <w:t xml:space="preserve">针对性</w:t>
            </w:r>
            <w:r>
              <w:rPr>
                <w:rFonts w:hint="eastAsia" w:ascii="宋体" w:hAnsi="宋体" w:eastAsia="宋体" w:cs="宋体"/>
                <w:spacing w:val="-4"/>
                <w:sz w:val="24"/>
                <w:szCs w:val="24"/>
                <w:lang w:val="en-US" w:eastAsia="zh-CN"/>
              </w:rPr>
              <w:t xml:space="preserve">较差</w:t>
            </w:r>
            <w:r>
              <w:rPr>
                <w:rFonts w:hint="eastAsia" w:ascii="宋体" w:hAnsi="宋体" w:eastAsia="宋体" w:cs="宋体"/>
                <w:spacing w:val="-4"/>
                <w:sz w:val="24"/>
                <w:szCs w:val="24"/>
                <w:lang w:eastAsia="zh-CN"/>
              </w:rPr>
              <w:t xml:space="preserve">，责任分工</w:t>
            </w:r>
            <w:r>
              <w:rPr>
                <w:rFonts w:hint="eastAsia" w:ascii="宋体" w:hAnsi="宋体" w:eastAsia="宋体" w:cs="宋体"/>
                <w:spacing w:val="-4"/>
                <w:sz w:val="24"/>
                <w:szCs w:val="24"/>
                <w:lang w:val="en-US" w:eastAsia="zh-CN"/>
              </w:rPr>
              <w:t xml:space="preserve">不明确，各人员安装调试流程的合理、</w:t>
            </w:r>
            <w:r>
              <w:rPr>
                <w:rFonts w:hint="eastAsia" w:ascii="宋体" w:hAnsi="宋体" w:eastAsia="宋体" w:cs="宋体"/>
                <w:spacing w:val="-4"/>
                <w:sz w:val="24"/>
                <w:szCs w:val="24"/>
                <w:lang w:eastAsia="zh-CN"/>
              </w:rPr>
              <w:t xml:space="preserve">完整</w:t>
            </w:r>
            <w:r>
              <w:rPr>
                <w:rFonts w:hint="eastAsia" w:ascii="宋体" w:hAnsi="宋体" w:eastAsia="宋体" w:cs="宋体"/>
                <w:spacing w:val="-4"/>
                <w:sz w:val="24"/>
                <w:szCs w:val="24"/>
                <w:lang w:val="en-US" w:eastAsia="zh-CN"/>
              </w:rPr>
              <w:t xml:space="preserve">性</w:t>
            </w:r>
            <w:r>
              <w:rPr>
                <w:rFonts w:hint="eastAsia" w:ascii="宋体" w:hAnsi="宋体" w:eastAsia="宋体" w:cs="宋体"/>
                <w:spacing w:val="-4"/>
                <w:sz w:val="24"/>
                <w:szCs w:val="24"/>
                <w:lang w:eastAsia="zh-CN"/>
              </w:rPr>
              <w:t xml:space="preserve">可行</w:t>
            </w:r>
            <w:r>
              <w:rPr>
                <w:rFonts w:hint="eastAsia" w:ascii="宋体" w:hAnsi="宋体" w:eastAsia="宋体" w:cs="宋体"/>
                <w:spacing w:val="-4"/>
                <w:sz w:val="24"/>
                <w:szCs w:val="24"/>
                <w:lang w:val="en-US" w:eastAsia="zh-CN"/>
              </w:rPr>
              <w:t xml:space="preserve">性较差的</w:t>
            </w:r>
            <w:r>
              <w:rPr>
                <w:rFonts w:hint="eastAsia" w:ascii="宋体" w:hAnsi="宋体" w:eastAsia="宋体" w:cs="宋体"/>
                <w:spacing w:val="-4"/>
                <w:sz w:val="24"/>
                <w:szCs w:val="24"/>
                <w:lang w:eastAsia="zh-CN"/>
              </w:rPr>
              <w:t xml:space="preserve">，</w:t>
            </w:r>
            <w:r>
              <w:rPr>
                <w:rFonts w:hint="eastAsia" w:ascii="宋体" w:hAnsi="宋体" w:eastAsia="宋体" w:cs="宋体"/>
                <w:b/>
                <w:bCs/>
                <w:spacing w:val="-4"/>
                <w:sz w:val="24"/>
                <w:szCs w:val="24"/>
                <w:lang w:val="zh-CN" w:eastAsia="zh-CN"/>
              </w:rPr>
              <w:t xml:space="preserve">得</w:t>
            </w:r>
            <w:r>
              <w:rPr>
                <w:rFonts w:hint="eastAsia" w:ascii="宋体" w:hAnsi="宋体" w:eastAsia="宋体" w:cs="宋体"/>
                <w:b/>
                <w:bCs/>
                <w:spacing w:val="-4"/>
                <w:sz w:val="24"/>
                <w:szCs w:val="24"/>
                <w:lang w:val="en-US" w:eastAsia="zh-CN"/>
              </w:rPr>
              <w:t xml:space="preserve">2</w:t>
            </w:r>
            <w:r>
              <w:rPr>
                <w:rFonts w:hint="eastAsia" w:ascii="宋体" w:hAnsi="宋体" w:eastAsia="宋体" w:cs="宋体"/>
                <w:b/>
                <w:bCs/>
                <w:spacing w:val="-4"/>
                <w:sz w:val="24"/>
                <w:szCs w:val="24"/>
                <w:lang w:eastAsia="zh-CN"/>
              </w:rPr>
              <w:t xml:space="preserve">分；</w:t>
            </w:r>
            <w:r/>
          </w:p>
          <w:p>
            <w:pPr>
              <w:jc w:val="left"/>
              <w:keepLines w:val="0"/>
              <w:keepNext w:val="0"/>
              <w:pageBreakBefore w:val="0"/>
              <w:spacing w:line="500" w:lineRule="exact"/>
            </w:pPr>
            <w:r>
              <w:rPr>
                <w:rFonts w:hint="eastAsia" w:ascii="宋体" w:hAnsi="宋体" w:eastAsia="宋体" w:cs="宋体"/>
                <w:b/>
                <w:bCs/>
                <w:spacing w:val="-2"/>
                <w:sz w:val="24"/>
                <w:szCs w:val="24"/>
              </w:rPr>
              <w:t xml:space="preserve">未见阐述不得分</w:t>
            </w:r>
            <w:r>
              <w:rPr>
                <w:rFonts w:hint="eastAsia" w:ascii="宋体" w:hAnsi="宋体" w:eastAsia="宋体" w:cs="宋体"/>
                <w:b/>
                <w:bCs/>
                <w:spacing w:val="-2"/>
                <w:sz w:val="24"/>
                <w:szCs w:val="24"/>
                <w:lang w:eastAsia="zh-CN"/>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售后</w:t>
            </w:r>
            <w:r>
              <w:rPr>
                <w:rFonts w:hint="eastAsia" w:ascii="宋体" w:hAnsi="宋体" w:eastAsia="宋体" w:cs="宋体"/>
                <w:color w:val="000000"/>
                <w:sz w:val="24"/>
                <w:szCs w:val="24"/>
                <w:lang w:val="en-US" w:eastAsia="zh-CN" w:bidi="ar"/>
              </w:rPr>
              <w:t xml:space="preserve">服务方案</w:t>
            </w:r>
            <w:r/>
          </w:p>
          <w:p>
            <w:pPr>
              <w:jc w:val="center"/>
              <w:keepLines w:val="0"/>
              <w:keepNext w:val="0"/>
              <w:pageBreakBefore w:val="0"/>
              <w:spacing w:line="500" w:lineRule="exact"/>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分）</w:t>
            </w:r>
            <w:r/>
          </w:p>
        </w:tc>
        <w:tc>
          <w:tcPr>
            <w:tcW w:w="6576" w:type="dxa"/>
            <w:vAlign w:val="center"/>
            <w:textDirection w:val="lrTb"/>
            <w:noWrap w:val="false"/>
          </w:tcPr>
          <w:p>
            <w:pPr>
              <w:numPr>
                <w:ilvl w:val="0"/>
                <w:numId w:val="0"/>
              </w:numPr>
              <w:jc w:val="left"/>
              <w:keepLines w:val="0"/>
              <w:keepNext w:val="0"/>
              <w:pageBreakBefore w:val="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投标人针对本项目提供售后服务方案，内容包含但不限于</w:t>
            </w:r>
            <w:r>
              <w:rPr>
                <w:rFonts w:hint="eastAsia" w:ascii="宋体" w:hAnsi="宋体" w:eastAsia="宋体" w:cs="宋体"/>
                <w:color w:val="000000"/>
                <w:sz w:val="24"/>
                <w:szCs w:val="24"/>
                <w:highlight w:val="none"/>
              </w:rPr>
              <w:t xml:space="preserve">：售后服务机构、售后服务内容和流程、售后服务响应时间、售后服务</w:t>
            </w:r>
            <w:r>
              <w:rPr>
                <w:rFonts w:hint="eastAsia" w:ascii="宋体" w:hAnsi="宋体" w:eastAsia="宋体" w:cs="宋体"/>
                <w:color w:val="000000"/>
                <w:sz w:val="24"/>
                <w:szCs w:val="24"/>
                <w:highlight w:val="none"/>
                <w:lang w:val="en-US" w:eastAsia="zh-CN"/>
              </w:rPr>
              <w:t xml:space="preserve">解决时间</w:t>
            </w:r>
            <w:r>
              <w:rPr>
                <w:rFonts w:hint="eastAsia" w:ascii="宋体" w:hAnsi="宋体" w:eastAsia="宋体" w:cs="宋体"/>
                <w:color w:val="000000"/>
                <w:sz w:val="24"/>
                <w:szCs w:val="24"/>
                <w:highlight w:val="none"/>
              </w:rPr>
              <w:t xml:space="preserve">、验收方案、备品备件等</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方案阐述详细，响应时间及故障处理及时，支撑保障措施完善，具备完善的服务保障体系的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方案阐述较为合理，响应时间及故障处理较及时，有支撑保障措施及服务保障体系的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方案阐述基本合理，响应时间及故障处理</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，保障措施和服务体系一般</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keepLines w:val="0"/>
              <w:keepNext w:val="0"/>
              <w:pageBreakBefore w:val="0"/>
              <w:spacing w:line="500" w:lineRule="exact"/>
              <w:rPr>
                <w:rFonts w:hint="eastAsia"/>
              </w:rPr>
            </w:pPr>
            <w:r>
              <w:rPr>
                <w:rFonts w:hint="eastAsia" w:ascii="宋体" w:hAnsi="宋体" w:eastAsia="宋体" w:cs="宋体"/>
                <w:sz w:val="24"/>
                <w:szCs w:val="24"/>
              </w:rPr>
              <w:t xml:space="preserve">方案阐述基本合理，响应时间及故障处理</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，保障措施和服务体系一般</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pStyle w:val="1040"/>
              <w:ind w:left="0" w:firstLine="0"/>
              <w:keepLines w:val="0"/>
              <w:keepNext w:val="0"/>
              <w:pageBreakBefore w:val="0"/>
              <w:spacing w:line="500" w:lineRule="exact"/>
            </w:pPr>
            <w:r>
              <w:rPr>
                <w:rFonts w:hint="eastAsia" w:ascii="宋体" w:hAnsi="宋体" w:eastAsia="宋体" w:cs="宋体"/>
                <w:b/>
                <w:bCs/>
                <w:color w:val="000000"/>
                <w:sz w:val="24"/>
                <w:szCs w:val="24"/>
                <w:highlight w:val="none"/>
              </w:rPr>
              <w:t xml:space="preserve">未见阐述不得分</w:t>
            </w:r>
            <w:r>
              <w:rPr>
                <w:rFonts w:hint="eastAsia" w:ascii="宋体" w:hAnsi="宋体" w:eastAsia="宋体" w:cs="宋体"/>
                <w:b/>
                <w:bCs/>
                <w:color w:val="000000"/>
                <w:sz w:val="24"/>
                <w:szCs w:val="24"/>
                <w:highlight w:val="none"/>
                <w:lang w:eastAsia="zh-CN"/>
              </w:rPr>
              <w:t xml:space="preserve">。</w:t>
            </w:r>
            <w:r/>
          </w:p>
        </w:tc>
      </w:tr>
    </w:tbl>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注：</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本项目评标标准中的技术分（</w:t>
      </w:r>
      <w:r>
        <w:rPr>
          <w:rFonts w:hint="eastAsia"/>
          <w:sz w:val="24"/>
          <w:szCs w:val="24"/>
          <w:highlight w:val="none"/>
          <w:lang w:val="en-US" w:eastAsia="zh-CN"/>
        </w:rPr>
        <w:t xml:space="preserve">25</w:t>
      </w:r>
      <w:r>
        <w:rPr>
          <w:rFonts w:hint="eastAsia"/>
          <w:sz w:val="24"/>
          <w:szCs w:val="24"/>
          <w:highlight w:val="none"/>
        </w:rPr>
        <w:t xml:space="preserve">分）采用暗标方式进行评审。</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编制要求：</w:t>
      </w:r>
      <w:r/>
    </w:p>
    <w:p>
      <w:pPr>
        <w:ind w:firstLine="480"/>
        <w:jc w:val="left"/>
        <w:spacing w:line="500" w:lineRule="exact"/>
        <w:rPr>
          <w:rFonts w:hint="eastAsia"/>
          <w:sz w:val="24"/>
          <w:szCs w:val="24"/>
          <w:highlight w:val="none"/>
        </w:rPr>
      </w:pPr>
      <w:r>
        <w:rPr>
          <w:rFonts w:hint="eastAsia"/>
          <w:sz w:val="24"/>
          <w:szCs w:val="24"/>
          <w:highlight w:val="none"/>
        </w:rPr>
        <w:t xml:space="preserve">2.1方案内容、文字</w:t>
      </w:r>
      <w:r>
        <w:rPr>
          <w:rFonts w:hint="eastAsia"/>
          <w:sz w:val="24"/>
          <w:szCs w:val="24"/>
          <w:highlight w:val="none"/>
          <w:lang w:eastAsia="zh-CN"/>
        </w:rPr>
        <w:t xml:space="preserve">、各类型图表、框图</w:t>
      </w:r>
      <w:r>
        <w:rPr>
          <w:rFonts w:hint="eastAsia"/>
          <w:sz w:val="24"/>
          <w:szCs w:val="24"/>
          <w:highlight w:val="none"/>
        </w:rPr>
        <w:t xml:space="preserve">均不得出现供应商名称、相关人员姓名和其他可识别供应商身份的字符、徽标、人员名称</w:t>
      </w:r>
      <w:r>
        <w:rPr>
          <w:rFonts w:hint="eastAsia"/>
          <w:sz w:val="24"/>
          <w:szCs w:val="24"/>
          <w:highlight w:val="none"/>
          <w:lang w:eastAsia="zh-CN"/>
        </w:rPr>
        <w:t xml:space="preserve">、</w:t>
      </w:r>
      <w:r>
        <w:rPr>
          <w:rFonts w:hint="eastAsia"/>
          <w:sz w:val="24"/>
          <w:szCs w:val="24"/>
          <w:highlight w:val="none"/>
        </w:rPr>
        <w:t xml:space="preserve">投标人独享的企业标准或编号等内容</w:t>
      </w:r>
      <w:r>
        <w:rPr>
          <w:rFonts w:hint="eastAsia"/>
          <w:sz w:val="24"/>
          <w:szCs w:val="24"/>
          <w:highlight w:val="none"/>
          <w:lang w:eastAsia="zh-CN"/>
        </w:rPr>
        <w:t xml:space="preserve">；</w:t>
      </w:r>
      <w:r>
        <w:rPr>
          <w:rFonts w:hint="eastAsia"/>
          <w:sz w:val="24"/>
          <w:szCs w:val="24"/>
          <w:highlight w:val="none"/>
        </w:rPr>
        <w:t xml:space="preserve">不得出现能显示企业特征或批注、底纹、阴影、水印等提示性的标记或标识</w:t>
      </w:r>
      <w:r>
        <w:rPr>
          <w:rFonts w:hint="eastAsia"/>
          <w:sz w:val="24"/>
          <w:szCs w:val="24"/>
          <w:highlight w:val="none"/>
          <w:lang w:eastAsia="zh-CN"/>
        </w:rPr>
        <w:t xml:space="preserve">；</w:t>
      </w:r>
      <w:r>
        <w:rPr>
          <w:rFonts w:hint="eastAsia"/>
          <w:sz w:val="24"/>
          <w:szCs w:val="24"/>
          <w:highlight w:val="none"/>
        </w:rPr>
        <w:t xml:space="preserve">不得出现以前所承担过的项目名称，不得作任何标识或暗示该供应商单位名称或人员姓名的标记</w:t>
      </w:r>
      <w:r>
        <w:rPr>
          <w:rFonts w:hint="eastAsia"/>
          <w:sz w:val="24"/>
          <w:szCs w:val="24"/>
          <w:highlight w:val="none"/>
          <w:lang w:eastAsia="zh-CN"/>
        </w:rPr>
        <w:t xml:space="preserve">，</w:t>
      </w:r>
      <w:r>
        <w:rPr>
          <w:rFonts w:hint="eastAsia"/>
          <w:sz w:val="24"/>
          <w:szCs w:val="24"/>
          <w:highlight w:val="none"/>
        </w:rPr>
        <w:t xml:space="preserve">相关人员姓名应以职务或职称代替。</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2.2</w:t>
      </w:r>
      <w:r>
        <w:rPr>
          <w:rFonts w:hint="eastAsia"/>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sz w:val="24"/>
          <w:szCs w:val="24"/>
          <w:highlight w:val="none"/>
        </w:rPr>
      </w:pPr>
      <w:r>
        <w:rPr>
          <w:rFonts w:hint="eastAsia"/>
          <w:sz w:val="24"/>
          <w:szCs w:val="24"/>
          <w:highlight w:val="none"/>
        </w:rPr>
        <w:t xml:space="preserve">2.3供应商需按照</w:t>
      </w:r>
      <w:r>
        <w:rPr>
          <w:rFonts w:hint="eastAsia"/>
          <w:sz w:val="24"/>
          <w:szCs w:val="24"/>
          <w:highlight w:val="none"/>
          <w:lang w:val="en-US" w:eastAsia="zh-CN"/>
        </w:rPr>
        <w:t xml:space="preserve">上述</w:t>
      </w:r>
      <w:r>
        <w:rPr>
          <w:rFonts w:hint="eastAsia"/>
          <w:sz w:val="24"/>
          <w:szCs w:val="24"/>
          <w:highlight w:val="none"/>
        </w:rPr>
        <w:t xml:space="preserve">要求编制方案，未按要求编制的本项不得分。</w:t>
      </w:r>
      <w:r/>
    </w:p>
    <w:p>
      <w:pPr>
        <w:jc w:val="left"/>
        <w:widowControl/>
        <w:rPr>
          <w:sz w:val="24"/>
          <w:szCs w:val="24"/>
        </w:rPr>
      </w:pPr>
      <w:r>
        <w:rPr>
          <w:sz w:val="24"/>
          <w:szCs w:val="24"/>
        </w:rPr>
        <w:br w:type="page" w:clear="all"/>
      </w:r>
      <w:r/>
    </w:p>
    <w:p>
      <w:pPr>
        <w:pStyle w:val="1007"/>
        <w:jc w:val="center"/>
        <w:spacing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10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sz w:val="24"/>
          <w:szCs w:val="24"/>
        </w:rPr>
      </w:pPr>
      <w:r>
        <w:rPr>
          <w:rFonts w:hint="eastAsia" w:ascii="宋体" w:hAnsi="宋体" w:eastAsia="宋体" w:cs="Times New Roman"/>
          <w:color w:val="000000"/>
          <w:sz w:val="24"/>
          <w:szCs w:val="21"/>
        </w:rPr>
        <w:t xml:space="preserve">日期：     年   月   日</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101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green"/>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pPr>
      <w:r>
        <w:rPr>
          <w:rFonts w:hint="eastAsia" w:ascii="宋体" w:hAnsi="宋体"/>
          <w:color w:val="000000"/>
          <w:szCs w:val="24"/>
          <w:highlight w:val="green"/>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hint="eastAsia" w:ascii="Arial" w:hAnsi="Arial" w:eastAsia="宋体" w:cs="Arial"/>
          <w:sz w:val="32"/>
          <w:highlight w:val="green"/>
        </w:rPr>
        <w:outlineLvl w:val="1"/>
      </w:pPr>
      <w:r>
        <w:rPr>
          <w:rFonts w:hint="eastAsia" w:ascii="Arial" w:hAnsi="Arial" w:eastAsia="宋体" w:cs="Arial"/>
          <w:sz w:val="32"/>
          <w:highlight w:val="green"/>
          <w:lang w:val="en-US" w:eastAsia="zh-CN"/>
        </w:rPr>
        <w:t xml:space="preserve">十五、</w:t>
      </w:r>
      <w:r>
        <w:rPr>
          <w:rFonts w:hint="eastAsia" w:ascii="Arial" w:hAnsi="Arial" w:eastAsia="宋体" w:cs="Arial"/>
          <w:sz w:val="32"/>
          <w:highlight w:val="green"/>
        </w:rPr>
        <w:t xml:space="preserve">关于符合本国产品标准的声明函（</w:t>
      </w:r>
      <w:r>
        <w:rPr>
          <w:rFonts w:hint="eastAsia" w:ascii="Arial" w:hAnsi="Arial" w:eastAsia="宋体" w:cs="Arial"/>
          <w:sz w:val="32"/>
          <w:highlight w:val="green"/>
          <w:lang w:val="en-US" w:eastAsia="zh-CN"/>
        </w:rPr>
        <w:t xml:space="preserve">分</w:t>
      </w:r>
      <w:r>
        <w:rPr>
          <w:rFonts w:hint="eastAsia" w:ascii="Arial" w:hAnsi="Arial" w:eastAsia="宋体" w:cs="Arial"/>
          <w:sz w:val="32"/>
          <w:highlight w:val="green"/>
        </w:rPr>
        <w:t xml:space="preserve">包号：**）</w:t>
      </w:r>
      <w:r/>
    </w:p>
    <w:p>
      <w:pPr>
        <w:pStyle w:val="102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20"/>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1.</w:t>
      </w:r>
      <w:r>
        <w:rPr>
          <w:rStyle w:val="1022"/>
          <w:rFonts w:hint="eastAsia" w:ascii="宋体" w:hAnsi="宋体" w:eastAsia="宋体" w:cs="宋体"/>
          <w:i w:val="0"/>
          <w:color w:val="auto"/>
          <w:sz w:val="24"/>
          <w:szCs w:val="24"/>
          <w:highlight w:val="green"/>
          <w:u w:val="single"/>
          <w:shd w:val="clear" w:color="auto" w:fill="ffffff"/>
        </w:rPr>
        <w:t xml:space="preserve">（产品名称1）</w:t>
      </w:r>
      <w:r>
        <w:rPr>
          <w:rStyle w:val="1022"/>
          <w:rFonts w:hint="eastAsia" w:ascii="宋体" w:hAnsi="宋体" w:eastAsia="宋体" w:cs="宋体"/>
          <w:i w:val="0"/>
          <w:color w:val="auto"/>
          <w:sz w:val="24"/>
          <w:szCs w:val="24"/>
          <w:highlight w:val="green"/>
          <w:shd w:val="clear" w:color="auto" w:fill="ffffff"/>
          <w:vertAlign w:val="superscript"/>
        </w:rPr>
        <w:t xml:space="preserve">1</w:t>
      </w:r>
      <w:r>
        <w:rPr>
          <w:rFonts w:hint="eastAsia" w:ascii="宋体" w:hAnsi="宋体" w:eastAsia="宋体" w:cs="宋体"/>
          <w:color w:val="auto"/>
          <w:sz w:val="24"/>
          <w:szCs w:val="24"/>
          <w:highlight w:val="green"/>
          <w:shd w:val="clear" w:color="auto" w:fill="ffffff"/>
        </w:rPr>
        <w:t xml:space="preserve">，生产厂为</w:t>
      </w:r>
      <w:r>
        <w:rPr>
          <w:rStyle w:val="1022"/>
          <w:rFonts w:hint="eastAsia" w:ascii="宋体" w:hAnsi="宋体" w:eastAsia="宋体" w:cs="宋体"/>
          <w:i w:val="0"/>
          <w:color w:val="auto"/>
          <w:sz w:val="24"/>
          <w:szCs w:val="24"/>
          <w:highlight w:val="green"/>
          <w:u w:val="single"/>
          <w:shd w:val="clear" w:color="auto" w:fill="ffffff"/>
        </w:rPr>
        <w:t xml:space="preserve">（厂名）</w:t>
      </w:r>
      <w:r>
        <w:rPr>
          <w:rStyle w:val="1022"/>
          <w:rFonts w:hint="eastAsia" w:ascii="宋体" w:hAnsi="宋体" w:eastAsia="宋体" w:cs="宋体"/>
          <w:i w:val="0"/>
          <w:color w:val="auto"/>
          <w:sz w:val="24"/>
          <w:szCs w:val="24"/>
          <w:highlight w:val="green"/>
          <w:shd w:val="clear" w:color="auto" w:fill="ffffff"/>
          <w:vertAlign w:val="superscript"/>
        </w:rPr>
        <w:t xml:space="preserve">2</w:t>
      </w:r>
      <w:r>
        <w:rPr>
          <w:rFonts w:hint="eastAsia" w:ascii="宋体" w:hAnsi="宋体" w:eastAsia="宋体" w:cs="宋体"/>
          <w:color w:val="auto"/>
          <w:sz w:val="24"/>
          <w:szCs w:val="24"/>
          <w:highlight w:val="green"/>
          <w:shd w:val="clear" w:color="auto" w:fill="ffffff"/>
        </w:rPr>
        <w:t xml:space="preserve">，厂址为</w:t>
      </w:r>
      <w:r>
        <w:rPr>
          <w:rStyle w:val="1022"/>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Fonts w:hint="eastAsia" w:ascii="宋体" w:hAnsi="宋体" w:eastAsia="宋体" w:cs="宋体"/>
          <w:color w:val="auto"/>
          <w:sz w:val="24"/>
          <w:szCs w:val="24"/>
          <w:highlight w:val="green"/>
          <w:u w:val="single"/>
          <w:shd w:val="clear" w:color="auto" w:fill="ffffff"/>
        </w:rPr>
        <w:t xml:space="preserve"> </w:t>
      </w:r>
      <w:r>
        <w:rPr>
          <w:rStyle w:val="1022"/>
          <w:rFonts w:hint="eastAsia" w:ascii="宋体" w:hAnsi="宋体" w:eastAsia="宋体" w:cs="宋体"/>
          <w:i w:val="0"/>
          <w:color w:val="auto"/>
          <w:sz w:val="24"/>
          <w:szCs w:val="24"/>
          <w:highlight w:val="green"/>
          <w:u w:val="single"/>
          <w:shd w:val="clear" w:color="auto" w:fill="ffffff"/>
        </w:rPr>
        <w:t xml:space="preserve">（产品名称1） </w:t>
      </w:r>
      <w:r>
        <w:rPr>
          <w:rFonts w:hint="eastAsia" w:ascii="宋体" w:hAnsi="宋体" w:eastAsia="宋体" w:cs="宋体"/>
          <w:color w:val="auto"/>
          <w:sz w:val="24"/>
          <w:szCs w:val="24"/>
          <w:highlight w:val="green"/>
          <w:shd w:val="clear" w:color="auto" w:fill="ffffff"/>
        </w:rPr>
        <w:t xml:space="preserve">的中国境内生产的组件成本占比≥</w:t>
      </w:r>
      <w:r>
        <w:rPr>
          <w:rStyle w:val="1022"/>
          <w:rFonts w:hint="eastAsia" w:ascii="宋体" w:hAnsi="宋体" w:eastAsia="宋体" w:cs="宋体"/>
          <w:i w:val="0"/>
          <w:color w:val="auto"/>
          <w:sz w:val="24"/>
          <w:szCs w:val="24"/>
          <w:highlight w:val="green"/>
          <w:u w:val="single"/>
          <w:shd w:val="clear" w:color="auto" w:fill="ffffff"/>
        </w:rPr>
        <w:t xml:space="preserve">（规定比例）</w:t>
      </w:r>
      <w:r>
        <w:rPr>
          <w:rStyle w:val="1022"/>
          <w:rFonts w:hint="eastAsia" w:ascii="宋体" w:hAnsi="宋体" w:eastAsia="宋体" w:cs="宋体"/>
          <w:i w:val="0"/>
          <w:color w:val="auto"/>
          <w:sz w:val="24"/>
          <w:szCs w:val="24"/>
          <w:highlight w:val="green"/>
          <w:shd w:val="clear" w:color="auto" w:fill="ffffff"/>
          <w:vertAlign w:val="superscript"/>
        </w:rPr>
        <w:t xml:space="preserve">3</w:t>
      </w:r>
      <w:r>
        <w:rPr>
          <w:rFonts w:hint="eastAsia" w:ascii="宋体" w:hAnsi="宋体" w:eastAsia="宋体" w:cs="宋体"/>
          <w:color w:val="auto"/>
          <w:sz w:val="24"/>
          <w:szCs w:val="24"/>
          <w:highlight w:val="green"/>
          <w:shd w:val="clear" w:color="auto" w:fill="ffffff"/>
        </w:rPr>
        <w:t xml:space="preserve">。</w:t>
      </w:r>
      <w:r>
        <w:rPr>
          <w:rStyle w:val="1022"/>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1022"/>
          <w:rFonts w:hint="eastAsia" w:ascii="宋体" w:hAnsi="宋体" w:eastAsia="宋体" w:cs="宋体"/>
          <w:i w:val="0"/>
          <w:color w:val="auto"/>
          <w:sz w:val="24"/>
          <w:szCs w:val="24"/>
          <w:highlight w:val="green"/>
          <w:u w:val="single"/>
          <w:shd w:val="clear" w:color="auto" w:fill="ffffff"/>
        </w:rPr>
        <w:t xml:space="preserve">（关键组件）</w:t>
      </w:r>
      <w:r>
        <w:rPr>
          <w:rStyle w:val="1022"/>
          <w:rFonts w:hint="eastAsia" w:ascii="宋体" w:hAnsi="宋体" w:eastAsia="宋体" w:cs="宋体"/>
          <w:i w:val="0"/>
          <w:color w:val="auto"/>
          <w:sz w:val="24"/>
          <w:szCs w:val="24"/>
          <w:highlight w:val="green"/>
          <w:shd w:val="clear" w:color="auto" w:fill="ffffff"/>
          <w:vertAlign w:val="superscript"/>
        </w:rPr>
        <w:t xml:space="preserve">4</w:t>
      </w:r>
      <w:r>
        <w:rPr>
          <w:rFonts w:hint="eastAsia" w:ascii="宋体" w:hAnsi="宋体" w:eastAsia="宋体" w:cs="宋体"/>
          <w:color w:val="auto"/>
          <w:sz w:val="24"/>
          <w:szCs w:val="24"/>
          <w:highlight w:val="green"/>
          <w:shd w:val="clear" w:color="auto" w:fill="ffffff"/>
        </w:rPr>
        <w:t xml:space="preserve">在中国境内生产。</w:t>
      </w:r>
      <w:r>
        <w:rPr>
          <w:rStyle w:val="1022"/>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1022"/>
          <w:rFonts w:hint="eastAsia" w:ascii="宋体" w:hAnsi="宋体" w:eastAsia="宋体" w:cs="宋体"/>
          <w:i w:val="0"/>
          <w:color w:val="auto"/>
          <w:sz w:val="24"/>
          <w:szCs w:val="24"/>
          <w:highlight w:val="green"/>
          <w:u w:val="single"/>
          <w:shd w:val="clear" w:color="auto" w:fill="ffffff"/>
        </w:rPr>
        <w:t xml:space="preserve">（关键工序）</w:t>
      </w:r>
      <w:r>
        <w:rPr>
          <w:rStyle w:val="1022"/>
          <w:rFonts w:hint="eastAsia" w:ascii="宋体" w:hAnsi="宋体" w:eastAsia="宋体" w:cs="宋体"/>
          <w:i w:val="0"/>
          <w:color w:val="auto"/>
          <w:sz w:val="24"/>
          <w:szCs w:val="24"/>
          <w:highlight w:val="green"/>
          <w:shd w:val="clear" w:color="auto" w:fill="ffffff"/>
          <w:vertAlign w:val="superscript"/>
        </w:rPr>
        <w:t xml:space="preserve">5</w:t>
      </w:r>
      <w:r>
        <w:rPr>
          <w:rFonts w:hint="eastAsia" w:ascii="宋体" w:hAnsi="宋体" w:eastAsia="宋体" w:cs="宋体"/>
          <w:color w:val="auto"/>
          <w:sz w:val="24"/>
          <w:szCs w:val="24"/>
          <w:highlight w:val="green"/>
          <w:shd w:val="clear" w:color="auto" w:fill="ffffff"/>
        </w:rPr>
        <w:t xml:space="preserve">在中国境内完成。</w:t>
      </w:r>
      <w:r/>
    </w:p>
    <w:p>
      <w:pPr>
        <w:pStyle w:val="102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2.</w:t>
      </w:r>
      <w:r>
        <w:rPr>
          <w:rStyle w:val="1022"/>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，生产厂为</w:t>
      </w:r>
      <w:r>
        <w:rPr>
          <w:rStyle w:val="1022"/>
          <w:rFonts w:hint="eastAsia" w:ascii="宋体" w:hAnsi="宋体" w:eastAsia="宋体" w:cs="宋体"/>
          <w:i w:val="0"/>
          <w:color w:val="auto"/>
          <w:sz w:val="24"/>
          <w:szCs w:val="24"/>
          <w:highlight w:val="green"/>
          <w:u w:val="single"/>
          <w:shd w:val="clear" w:color="auto" w:fill="ffffff"/>
        </w:rPr>
        <w:t xml:space="preserve">（厂名）</w:t>
      </w:r>
      <w:r>
        <w:rPr>
          <w:rFonts w:hint="eastAsia" w:ascii="宋体" w:hAnsi="宋体" w:eastAsia="宋体" w:cs="宋体"/>
          <w:color w:val="auto"/>
          <w:sz w:val="24"/>
          <w:szCs w:val="24"/>
          <w:highlight w:val="green"/>
          <w:shd w:val="clear" w:color="auto" w:fill="ffffff"/>
        </w:rPr>
        <w:t xml:space="preserve">，厂址为</w:t>
      </w:r>
      <w:r>
        <w:rPr>
          <w:rStyle w:val="1022"/>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Style w:val="1022"/>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的中国境内生产的组件成本占比≥</w:t>
      </w:r>
      <w:r>
        <w:rPr>
          <w:rStyle w:val="1022"/>
          <w:rFonts w:hint="eastAsia" w:ascii="宋体" w:hAnsi="宋体" w:eastAsia="宋体" w:cs="宋体"/>
          <w:i w:val="0"/>
          <w:color w:val="auto"/>
          <w:sz w:val="24"/>
          <w:szCs w:val="24"/>
          <w:highlight w:val="green"/>
          <w:u w:val="single"/>
          <w:shd w:val="clear" w:color="auto" w:fill="ffffff"/>
        </w:rPr>
        <w:t xml:space="preserve">（规定比例）</w:t>
      </w:r>
      <w:r>
        <w:rPr>
          <w:rFonts w:hint="eastAsia" w:ascii="宋体" w:hAnsi="宋体" w:eastAsia="宋体" w:cs="宋体"/>
          <w:color w:val="auto"/>
          <w:sz w:val="24"/>
          <w:szCs w:val="24"/>
          <w:highlight w:val="green"/>
          <w:shd w:val="clear" w:color="auto" w:fill="ffffff"/>
        </w:rPr>
        <w:t xml:space="preserve">。</w:t>
      </w:r>
      <w:r>
        <w:rPr>
          <w:rStyle w:val="1022"/>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w:t>
      </w:r>
      <w:r>
        <w:rPr>
          <w:rStyle w:val="1022"/>
          <w:rFonts w:hint="eastAsia" w:ascii="宋体" w:hAnsi="宋体" w:eastAsia="宋体" w:cs="宋体"/>
          <w:i w:val="0"/>
          <w:color w:val="auto"/>
          <w:sz w:val="24"/>
          <w:szCs w:val="24"/>
          <w:highlight w:val="green"/>
          <w:u w:val="single"/>
          <w:shd w:val="clear" w:color="auto" w:fill="ffffff"/>
        </w:rPr>
        <w:t xml:space="preserve">（关键组件）</w:t>
      </w:r>
      <w:r>
        <w:rPr>
          <w:rFonts w:hint="eastAsia" w:ascii="宋体" w:hAnsi="宋体" w:eastAsia="宋体" w:cs="宋体"/>
          <w:color w:val="auto"/>
          <w:sz w:val="24"/>
          <w:szCs w:val="24"/>
          <w:highlight w:val="green"/>
          <w:shd w:val="clear" w:color="auto" w:fill="ffffff"/>
        </w:rPr>
        <w:t xml:space="preserve">在中国境内生产。</w:t>
      </w:r>
      <w:r>
        <w:rPr>
          <w:rStyle w:val="1022"/>
          <w:rFonts w:hint="eastAsia" w:ascii="宋体" w:hAnsi="宋体" w:eastAsia="宋体" w:cs="宋体"/>
          <w:i w:val="0"/>
          <w:color w:val="auto"/>
          <w:sz w:val="24"/>
          <w:szCs w:val="24"/>
          <w:highlight w:val="green"/>
          <w:u w:val="single"/>
          <w:shd w:val="clear" w:color="auto" w:fill="ffffff"/>
        </w:rPr>
        <w:t xml:space="preserve">（产品名称</w:t>
      </w:r>
      <w:r>
        <w:rPr>
          <w:rStyle w:val="1022"/>
          <w:rFonts w:hint="eastAsia" w:ascii="宋体" w:hAnsi="宋体" w:eastAsia="宋体" w:cs="宋体"/>
          <w:i w:val="0"/>
          <w:color w:val="auto"/>
          <w:sz w:val="24"/>
          <w:szCs w:val="24"/>
          <w:highlight w:val="green"/>
          <w:u w:val="single"/>
          <w:shd w:val="clear" w:color="auto" w:fill="ffffff"/>
          <w:lang w:val="en-US" w:eastAsia="zh-CN"/>
        </w:rPr>
        <w:t xml:space="preserve">2</w:t>
      </w:r>
      <w:r>
        <w:rPr>
          <w:rStyle w:val="1022"/>
          <w:rFonts w:hint="eastAsia" w:ascii="宋体" w:hAnsi="宋体" w:eastAsia="宋体" w:cs="宋体"/>
          <w:i w:val="0"/>
          <w:color w:val="auto"/>
          <w:sz w:val="24"/>
          <w:szCs w:val="24"/>
          <w:highlight w:val="green"/>
          <w:u w:val="single"/>
          <w:shd w:val="clear" w:color="auto" w:fill="ffffff"/>
        </w:rPr>
        <w:t xml:space="preserve">）</w:t>
      </w:r>
      <w:r>
        <w:rPr>
          <w:rFonts w:hint="eastAsia" w:ascii="宋体" w:hAnsi="宋体" w:eastAsia="宋体" w:cs="宋体"/>
          <w:color w:val="auto"/>
          <w:sz w:val="24"/>
          <w:szCs w:val="24"/>
          <w:highlight w:val="green"/>
          <w:shd w:val="clear" w:color="auto" w:fill="ffffff"/>
        </w:rPr>
        <w:t xml:space="preserve">的</w:t>
      </w:r>
      <w:r>
        <w:rPr>
          <w:rStyle w:val="1022"/>
          <w:rFonts w:hint="eastAsia" w:ascii="宋体" w:hAnsi="宋体" w:eastAsia="宋体" w:cs="宋体"/>
          <w:i w:val="0"/>
          <w:color w:val="auto"/>
          <w:sz w:val="24"/>
          <w:szCs w:val="24"/>
          <w:highlight w:val="green"/>
          <w:u w:val="single"/>
          <w:shd w:val="clear" w:color="auto" w:fill="ffffff"/>
        </w:rPr>
        <w:t xml:space="preserve">（关键工序）</w:t>
      </w:r>
      <w:r>
        <w:rPr>
          <w:rFonts w:hint="eastAsia" w:ascii="宋体" w:hAnsi="宋体" w:eastAsia="宋体" w:cs="宋体"/>
          <w:color w:val="auto"/>
          <w:sz w:val="24"/>
          <w:szCs w:val="24"/>
          <w:highlight w:val="green"/>
          <w:shd w:val="clear" w:color="auto" w:fill="ffffff"/>
        </w:rPr>
        <w:t xml:space="preserve">在中国境内完成。</w:t>
      </w:r>
      <w:r/>
    </w:p>
    <w:p>
      <w:pPr>
        <w:pStyle w:val="102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w:t>
      </w:r>
      <w:r/>
    </w:p>
    <w:p>
      <w:pPr>
        <w:pStyle w:val="102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本公司（单位）对上述声明内容的真实性负责。如有虚假，愿承担相应法律责任。</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pStyle w:val="1020"/>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公司（单位）名称（盖章）：　        </w:t>
      </w:r>
      <w:r/>
    </w:p>
    <w:p>
      <w:pPr>
        <w:pStyle w:val="102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                                日期：　   年　  月　  日         </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1.产品如有型号，请在“产品名称”栏一并填写。</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2.生产厂名与厂址应与生产厂营业执照载明的相关信息保持一致。</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3.该产品的中国境内生产的组件成本占比相关要求实施前，“规定比例”栏可不填，下同。</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4.该产品的关键组件要求实施前，“关键组件”栏可不填，下同。</w:t>
      </w:r>
      <w:r/>
    </w:p>
    <w:p>
      <w:pPr>
        <w:pStyle w:val="10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6.用斜线划除的地方无需填写。</w:t>
      </w:r>
      <w:r/>
    </w:p>
    <w:p>
      <w:pPr>
        <w:jc w:val="left"/>
        <w:spacing w:line="360" w:lineRule="auto"/>
        <w:rPr>
          <w:rFonts w:hint="eastAsia" w:ascii="宋体" w:hAnsi="宋体"/>
          <w:sz w:val="24"/>
          <w:szCs w:val="24"/>
          <w:highlight w:val="green"/>
        </w:rPr>
      </w:pPr>
      <w:r>
        <w:rPr>
          <w:rFonts w:hint="eastAsia" w:ascii="宋体" w:hAnsi="宋体"/>
          <w:sz w:val="24"/>
          <w:szCs w:val="24"/>
          <w:highlight w:val="green"/>
          <w:lang w:val="en-US" w:eastAsia="zh-CN"/>
        </w:rPr>
        <w:t xml:space="preserve">7.</w:t>
      </w:r>
      <w:r>
        <w:rPr>
          <w:rFonts w:hint="eastAsia" w:ascii="宋体" w:hAnsi="宋体"/>
          <w:sz w:val="24"/>
          <w:szCs w:val="24"/>
          <w:highlight w:val="green"/>
        </w:rPr>
        <w:t xml:space="preserve">请供应商如实填写，如填写有误，将承担一切不利后果。</w:t>
      </w:r>
      <w:r/>
    </w:p>
    <w:p>
      <w:pPr>
        <w:pStyle w:val="1020"/>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lang w:val="en-US" w:eastAsia="zh-CN"/>
        </w:rPr>
        <w:t xml:space="preserve">8.</w:t>
      </w:r>
      <w:r>
        <w:rPr>
          <w:rFonts w:hint="eastAsia" w:ascii="宋体" w:hAnsi="宋体"/>
          <w:sz w:val="24"/>
          <w:szCs w:val="24"/>
          <w:highlight w:val="green"/>
        </w:rPr>
        <w:t xml:space="preserve">供应商提供虚假《声明函》、虚假证明文件谋取中标的，依照《中华人民共和国政府采购法》等法律法规规定追究相应责任。</w:t>
      </w:r>
      <w:r/>
    </w:p>
    <w:p>
      <w:pPr>
        <w:pStyle w:val="1020"/>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green"/>
          <w:shd w:val="clear" w:color="auto" w:fill="ffffff"/>
          <w:lang w:val="en-US" w:eastAsia="zh-CN"/>
        </w:rPr>
        <w:t xml:space="preserve">9.</w:t>
      </w:r>
      <w:r>
        <w:rPr>
          <w:rFonts w:hint="eastAsia" w:ascii="宋体" w:hAnsi="宋体"/>
          <w:sz w:val="24"/>
          <w:szCs w:val="24"/>
          <w:highlight w:val="green"/>
        </w:rPr>
        <w:t xml:space="preserve">中标人的</w:t>
      </w:r>
      <w:r>
        <w:rPr>
          <w:rFonts w:hint="eastAsia" w:ascii="宋体" w:hAnsi="宋体" w:eastAsia="宋体" w:cs="宋体"/>
          <w:i w:val="0"/>
          <w:iCs w:val="0"/>
          <w:caps w:val="0"/>
          <w:color w:val="333333"/>
          <w:spacing w:val="0"/>
          <w:sz w:val="24"/>
          <w:szCs w:val="24"/>
          <w:highlight w:val="green"/>
          <w:shd w:val="clear" w:color="auto" w:fill="ffffff"/>
        </w:rPr>
        <w:t xml:space="preserve">《声明函》或有关证明文件</w:t>
      </w:r>
      <w:r>
        <w:rPr>
          <w:rFonts w:hint="eastAsia" w:ascii="宋体" w:hAnsi="宋体"/>
          <w:sz w:val="24"/>
          <w:szCs w:val="24"/>
          <w:highlight w:val="green"/>
        </w:rPr>
        <w:t xml:space="preserve">随中标结果公开，接受社会监督。</w:t>
      </w:r>
      <w:r/>
    </w:p>
    <w:p>
      <w:pPr>
        <w:pStyle w:val="1020"/>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rPr>
      </w:r>
      <w:r/>
    </w:p>
    <w:p>
      <w:pPr>
        <w:pStyle w:val="1020"/>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1011"/>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w:t>
      </w:r>
      <w:r>
        <w:rPr>
          <w:rFonts w:hint="eastAsia" w:ascii="Arial" w:hAnsi="Arial" w:eastAsia="宋体" w:cs="Arial"/>
          <w:iCs/>
          <w:sz w:val="32"/>
          <w:lang w:val="en-US" w:eastAsia="zh-CN"/>
        </w:rPr>
        <w:t xml:space="preserve">七</w:t>
      </w:r>
      <w:r>
        <w:rPr>
          <w:rFonts w:hint="eastAsia" w:ascii="Arial" w:hAnsi="Arial" w:eastAsia="宋体" w:cs="Arial"/>
          <w:iCs/>
          <w:sz w:val="32"/>
        </w:rPr>
        <w:t xml:space="preserve">、商务要求响应及偏离表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1011"/>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3" w:name="_Hlt26955064"/>
            <w:r/>
            <w:bookmarkEnd w:id="13"/>
            <w:r/>
            <w:bookmarkStart w:id="14" w:name="_Hlt26609391"/>
            <w:r/>
            <w:bookmarkEnd w:id="14"/>
            <w:r/>
            <w:bookmarkStart w:id="15" w:name="_Hlt26671372"/>
            <w:r/>
            <w:bookmarkEnd w:id="15"/>
            <w:r/>
            <w:bookmarkStart w:id="16" w:name="_Hlt26671343"/>
            <w:r/>
            <w:bookmarkEnd w:id="16"/>
            <w:r/>
            <w:bookmarkStart w:id="17" w:name="_Hlt24879081"/>
            <w:r/>
            <w:bookmarkEnd w:id="17"/>
            <w:r/>
            <w:bookmarkStart w:id="18" w:name="_Hlt26580838"/>
            <w:r/>
            <w:bookmarkEnd w:id="18"/>
            <w:r/>
            <w:bookmarkStart w:id="19" w:name="_Hlt26782999"/>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格式2__法定代表人授权书"/>
      <w:r/>
      <w:bookmarkEnd w:id="21"/>
      <w:r/>
      <w:bookmarkStart w:id="22" w:name="_Hlt26671374"/>
      <w:r/>
      <w:bookmarkEnd w:id="22"/>
      <w:r/>
      <w:bookmarkStart w:id="23" w:name="_Hlt26955066"/>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1011"/>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101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spacing w:before="360" w:after="200" w:line="360" w:lineRule="auto"/>
        <w:rPr>
          <w:rFonts w:ascii="黑体" w:hAnsi="黑体" w:eastAsia="黑体" w:cs="Times New Roman"/>
          <w:b/>
          <w:color w:val="000000"/>
          <w:sz w:val="32"/>
          <w:szCs w:val="32"/>
        </w:rPr>
        <w:outlineLvl w:val="1"/>
      </w:pPr>
      <w:r>
        <w:rPr>
          <w:rFonts w:hint="eastAsia" w:ascii="Arial" w:hAnsi="Arial" w:eastAsia="宋体" w:cs="Arial"/>
          <w:sz w:val="32"/>
          <w:lang w:val="en-US" w:eastAsia="zh-CN"/>
        </w:rPr>
        <w:t xml:space="preserve">二十</w:t>
      </w:r>
      <w:r>
        <w:rPr>
          <w:rFonts w:hint="eastAsia" w:ascii="Arial" w:hAnsi="Arial" w:eastAsia="宋体" w:cs="Arial"/>
          <w:sz w:val="32"/>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1021"/>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r/>
  </w:p>
  <w:p>
    <w:pPr>
      <w:pStyle w:val="10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1017"/>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3"/>
  </w:num>
  <w:num w:numId="2">
    <w:abstractNumId w:val="80"/>
  </w:num>
  <w:num w:numId="3">
    <w:abstractNumId w:val="37"/>
  </w:num>
  <w:num w:numId="4">
    <w:abstractNumId w:val="36"/>
  </w:num>
  <w:num w:numId="5">
    <w:abstractNumId w:val="22"/>
  </w:num>
  <w:num w:numId="6">
    <w:abstractNumId w:val="38"/>
  </w:num>
  <w:num w:numId="7">
    <w:abstractNumId w:val="25"/>
  </w:num>
  <w:num w:numId="8">
    <w:abstractNumId w:val="14"/>
  </w:num>
  <w:num w:numId="9">
    <w:abstractNumId w:val="5"/>
  </w:num>
  <w:num w:numId="10">
    <w:abstractNumId w:val="26"/>
  </w:num>
  <w:num w:numId="11">
    <w:abstractNumId w:val="7"/>
  </w:num>
  <w:num w:numId="12">
    <w:abstractNumId w:val="20"/>
  </w:num>
  <w:num w:numId="13">
    <w:abstractNumId w:val="8"/>
  </w:num>
  <w:num w:numId="14">
    <w:abstractNumId w:val="78"/>
  </w:num>
  <w:num w:numId="15">
    <w:abstractNumId w:val="42"/>
  </w:num>
  <w:num w:numId="16">
    <w:abstractNumId w:val="9"/>
  </w:num>
  <w:num w:numId="17">
    <w:abstractNumId w:val="11"/>
  </w:num>
  <w:num w:numId="18">
    <w:abstractNumId w:val="63"/>
  </w:num>
  <w:num w:numId="19">
    <w:abstractNumId w:val="16"/>
  </w:num>
  <w:num w:numId="20">
    <w:abstractNumId w:val="65"/>
  </w:num>
  <w:num w:numId="21">
    <w:abstractNumId w:val="55"/>
  </w:num>
  <w:num w:numId="22">
    <w:abstractNumId w:val="74"/>
  </w:num>
  <w:num w:numId="23">
    <w:abstractNumId w:val="27"/>
  </w:num>
  <w:num w:numId="24">
    <w:abstractNumId w:val="24"/>
  </w:num>
  <w:num w:numId="25">
    <w:abstractNumId w:val="35"/>
  </w:num>
  <w:num w:numId="26">
    <w:abstractNumId w:val="44"/>
  </w:num>
  <w:num w:numId="27">
    <w:abstractNumId w:val="0"/>
  </w:num>
  <w:num w:numId="28">
    <w:abstractNumId w:val="54"/>
  </w:num>
  <w:num w:numId="29">
    <w:abstractNumId w:val="76"/>
  </w:num>
  <w:num w:numId="30">
    <w:abstractNumId w:val="57"/>
  </w:num>
  <w:num w:numId="31">
    <w:abstractNumId w:val="52"/>
  </w:num>
  <w:num w:numId="32">
    <w:abstractNumId w:val="40"/>
  </w:num>
  <w:num w:numId="33">
    <w:abstractNumId w:val="17"/>
  </w:num>
  <w:num w:numId="34">
    <w:abstractNumId w:val="33"/>
  </w:num>
  <w:num w:numId="35">
    <w:abstractNumId w:val="29"/>
  </w:num>
  <w:num w:numId="36">
    <w:abstractNumId w:val="62"/>
  </w:num>
  <w:num w:numId="37">
    <w:abstractNumId w:val="48"/>
  </w:num>
  <w:num w:numId="38">
    <w:abstractNumId w:val="47"/>
  </w:num>
  <w:num w:numId="39">
    <w:abstractNumId w:val="73"/>
  </w:num>
  <w:num w:numId="40">
    <w:abstractNumId w:val="1"/>
  </w:num>
  <w:num w:numId="41">
    <w:abstractNumId w:val="28"/>
  </w:num>
  <w:num w:numId="42">
    <w:abstractNumId w:val="51"/>
  </w:num>
  <w:num w:numId="43">
    <w:abstractNumId w:val="64"/>
  </w:num>
  <w:num w:numId="44">
    <w:abstractNumId w:val="45"/>
  </w:num>
  <w:num w:numId="45">
    <w:abstractNumId w:val="67"/>
  </w:num>
  <w:num w:numId="46">
    <w:abstractNumId w:val="53"/>
  </w:num>
  <w:num w:numId="47">
    <w:abstractNumId w:val="10"/>
  </w:num>
  <w:num w:numId="48">
    <w:abstractNumId w:val="75"/>
  </w:num>
  <w:num w:numId="49">
    <w:abstractNumId w:val="66"/>
  </w:num>
  <w:num w:numId="50">
    <w:abstractNumId w:val="13"/>
  </w:num>
  <w:num w:numId="51">
    <w:abstractNumId w:val="15"/>
  </w:num>
  <w:num w:numId="52">
    <w:abstractNumId w:val="79"/>
  </w:num>
  <w:num w:numId="53">
    <w:abstractNumId w:val="58"/>
  </w:num>
  <w:num w:numId="54">
    <w:abstractNumId w:val="41"/>
  </w:num>
  <w:num w:numId="55">
    <w:abstractNumId w:val="68"/>
  </w:num>
  <w:num w:numId="56">
    <w:abstractNumId w:val="70"/>
  </w:num>
  <w:num w:numId="57">
    <w:abstractNumId w:val="30"/>
  </w:num>
  <w:num w:numId="58">
    <w:abstractNumId w:val="49"/>
  </w:num>
  <w:num w:numId="59">
    <w:abstractNumId w:val="6"/>
  </w:num>
  <w:num w:numId="60">
    <w:abstractNumId w:val="3"/>
  </w:num>
  <w:num w:numId="61">
    <w:abstractNumId w:val="2"/>
  </w:num>
  <w:num w:numId="62">
    <w:abstractNumId w:val="61"/>
  </w:num>
  <w:num w:numId="63">
    <w:abstractNumId w:val="81"/>
  </w:num>
  <w:num w:numId="64">
    <w:abstractNumId w:val="12"/>
  </w:num>
  <w:num w:numId="65">
    <w:abstractNumId w:val="23"/>
  </w:num>
  <w:num w:numId="66">
    <w:abstractNumId w:val="50"/>
  </w:num>
  <w:num w:numId="67">
    <w:abstractNumId w:val="21"/>
  </w:num>
  <w:num w:numId="68">
    <w:abstractNumId w:val="31"/>
  </w:num>
  <w:num w:numId="69">
    <w:abstractNumId w:val="59"/>
  </w:num>
  <w:num w:numId="70">
    <w:abstractNumId w:val="39"/>
  </w:num>
  <w:num w:numId="71">
    <w:abstractNumId w:val="18"/>
  </w:num>
  <w:num w:numId="72">
    <w:abstractNumId w:val="19"/>
  </w:num>
  <w:num w:numId="73">
    <w:abstractNumId w:val="60"/>
  </w:num>
  <w:num w:numId="74">
    <w:abstractNumId w:val="46"/>
  </w:num>
  <w:num w:numId="75">
    <w:abstractNumId w:val="4"/>
  </w:num>
  <w:num w:numId="76">
    <w:abstractNumId w:val="32"/>
  </w:num>
  <w:num w:numId="77">
    <w:abstractNumId w:val="69"/>
  </w:num>
  <w:num w:numId="78">
    <w:abstractNumId w:val="34"/>
  </w:num>
  <w:num w:numId="79">
    <w:abstractNumId w:val="72"/>
  </w:num>
  <w:num w:numId="80">
    <w:abstractNumId w:val="56"/>
  </w:num>
  <w:num w:numId="81">
    <w:abstractNumId w:val="77"/>
  </w:num>
  <w:num w:numId="8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1010"/>
    <w:link w:val="1007"/>
    <w:uiPriority w:val="9"/>
    <w:rPr>
      <w:rFonts w:ascii="Arial" w:hAnsi="Arial" w:eastAsia="Arial" w:cs="Arial"/>
      <w:sz w:val="40"/>
      <w:szCs w:val="40"/>
    </w:rPr>
  </w:style>
  <w:style w:type="character" w:styleId="837">
    <w:name w:val="Heading 2 Char"/>
    <w:basedOn w:val="1010"/>
    <w:link w:val="1008"/>
    <w:uiPriority w:val="9"/>
    <w:rPr>
      <w:rFonts w:ascii="Arial" w:hAnsi="Arial" w:eastAsia="Arial" w:cs="Arial"/>
      <w:sz w:val="34"/>
    </w:rPr>
  </w:style>
  <w:style w:type="character" w:styleId="838">
    <w:name w:val="Heading 3 Char"/>
    <w:basedOn w:val="1010"/>
    <w:link w:val="1009"/>
    <w:uiPriority w:val="9"/>
    <w:rPr>
      <w:rFonts w:ascii="Arial" w:hAnsi="Arial" w:eastAsia="Arial" w:cs="Arial"/>
      <w:sz w:val="30"/>
      <w:szCs w:val="30"/>
    </w:rPr>
  </w:style>
  <w:style w:type="paragraph" w:styleId="839">
    <w:name w:val="Heading 4"/>
    <w:basedOn w:val="1006"/>
    <w:next w:val="1006"/>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basedOn w:val="1010"/>
    <w:link w:val="839"/>
    <w:uiPriority w:val="9"/>
    <w:rPr>
      <w:rFonts w:ascii="Arial" w:hAnsi="Arial" w:eastAsia="Arial" w:cs="Arial"/>
      <w:b/>
      <w:bCs/>
      <w:sz w:val="26"/>
      <w:szCs w:val="26"/>
    </w:rPr>
  </w:style>
  <w:style w:type="paragraph" w:styleId="841">
    <w:name w:val="Heading 5"/>
    <w:basedOn w:val="1006"/>
    <w:next w:val="1006"/>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basedOn w:val="1010"/>
    <w:link w:val="841"/>
    <w:uiPriority w:val="9"/>
    <w:rPr>
      <w:rFonts w:ascii="Arial" w:hAnsi="Arial" w:eastAsia="Arial" w:cs="Arial"/>
      <w:b/>
      <w:bCs/>
      <w:sz w:val="24"/>
      <w:szCs w:val="24"/>
    </w:rPr>
  </w:style>
  <w:style w:type="paragraph" w:styleId="843">
    <w:name w:val="Heading 6"/>
    <w:basedOn w:val="1006"/>
    <w:next w:val="1006"/>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basedOn w:val="1010"/>
    <w:link w:val="843"/>
    <w:uiPriority w:val="9"/>
    <w:rPr>
      <w:rFonts w:ascii="Arial" w:hAnsi="Arial" w:eastAsia="Arial" w:cs="Arial"/>
      <w:b/>
      <w:bCs/>
      <w:sz w:val="22"/>
      <w:szCs w:val="22"/>
    </w:rPr>
  </w:style>
  <w:style w:type="paragraph" w:styleId="845">
    <w:name w:val="Heading 7"/>
    <w:basedOn w:val="1006"/>
    <w:next w:val="1006"/>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basedOn w:val="1010"/>
    <w:link w:val="845"/>
    <w:uiPriority w:val="9"/>
    <w:rPr>
      <w:rFonts w:ascii="Arial" w:hAnsi="Arial" w:eastAsia="Arial" w:cs="Arial"/>
      <w:b/>
      <w:bCs/>
      <w:i/>
      <w:iCs/>
      <w:sz w:val="22"/>
      <w:szCs w:val="22"/>
    </w:rPr>
  </w:style>
  <w:style w:type="paragraph" w:styleId="847">
    <w:name w:val="Heading 8"/>
    <w:basedOn w:val="1006"/>
    <w:next w:val="1006"/>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basedOn w:val="1010"/>
    <w:link w:val="847"/>
    <w:uiPriority w:val="9"/>
    <w:rPr>
      <w:rFonts w:ascii="Arial" w:hAnsi="Arial" w:eastAsia="Arial" w:cs="Arial"/>
      <w:i/>
      <w:iCs/>
      <w:sz w:val="22"/>
      <w:szCs w:val="22"/>
    </w:rPr>
  </w:style>
  <w:style w:type="paragraph" w:styleId="849">
    <w:name w:val="Heading 9"/>
    <w:basedOn w:val="1006"/>
    <w:next w:val="1006"/>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basedOn w:val="1010"/>
    <w:link w:val="849"/>
    <w:uiPriority w:val="9"/>
    <w:rPr>
      <w:rFonts w:ascii="Arial" w:hAnsi="Arial" w:eastAsia="Arial" w:cs="Arial"/>
      <w:i/>
      <w:iCs/>
      <w:sz w:val="21"/>
      <w:szCs w:val="21"/>
    </w:rPr>
  </w:style>
  <w:style w:type="paragraph" w:styleId="851">
    <w:name w:val="List Paragraph"/>
    <w:basedOn w:val="1006"/>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06"/>
    <w:next w:val="1006"/>
    <w:link w:val="854"/>
    <w:uiPriority w:val="10"/>
    <w:qFormat/>
    <w:pPr>
      <w:contextualSpacing/>
      <w:spacing w:before="300" w:after="200"/>
    </w:pPr>
    <w:rPr>
      <w:sz w:val="48"/>
      <w:szCs w:val="48"/>
    </w:rPr>
  </w:style>
  <w:style w:type="character" w:styleId="854">
    <w:name w:val="Title Char"/>
    <w:basedOn w:val="1010"/>
    <w:link w:val="853"/>
    <w:uiPriority w:val="10"/>
    <w:rPr>
      <w:sz w:val="48"/>
      <w:szCs w:val="48"/>
    </w:rPr>
  </w:style>
  <w:style w:type="paragraph" w:styleId="855">
    <w:name w:val="Subtitle"/>
    <w:basedOn w:val="1006"/>
    <w:next w:val="1006"/>
    <w:link w:val="856"/>
    <w:uiPriority w:val="11"/>
    <w:qFormat/>
    <w:pPr>
      <w:spacing w:before="200" w:after="200"/>
    </w:pPr>
    <w:rPr>
      <w:sz w:val="24"/>
      <w:szCs w:val="24"/>
    </w:rPr>
  </w:style>
  <w:style w:type="character" w:styleId="856">
    <w:name w:val="Subtitle Char"/>
    <w:basedOn w:val="1010"/>
    <w:link w:val="855"/>
    <w:uiPriority w:val="11"/>
    <w:rPr>
      <w:sz w:val="24"/>
      <w:szCs w:val="24"/>
    </w:rPr>
  </w:style>
  <w:style w:type="paragraph" w:styleId="857">
    <w:name w:val="Quote"/>
    <w:basedOn w:val="1006"/>
    <w:next w:val="1006"/>
    <w:link w:val="858"/>
    <w:uiPriority w:val="29"/>
    <w:qFormat/>
    <w:pPr>
      <w:ind w:left="720" w:right="720"/>
    </w:pPr>
    <w:rPr>
      <w:i/>
    </w:rPr>
  </w:style>
  <w:style w:type="character" w:styleId="858">
    <w:name w:val="Quote Char"/>
    <w:link w:val="857"/>
    <w:uiPriority w:val="29"/>
    <w:rPr>
      <w:i/>
    </w:rPr>
  </w:style>
  <w:style w:type="paragraph" w:styleId="859">
    <w:name w:val="Intense Quote"/>
    <w:basedOn w:val="1006"/>
    <w:next w:val="1006"/>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character" w:styleId="861">
    <w:name w:val="Header Char"/>
    <w:basedOn w:val="1010"/>
    <w:link w:val="1018"/>
    <w:uiPriority w:val="99"/>
  </w:style>
  <w:style w:type="character" w:styleId="862">
    <w:name w:val="Footer Char"/>
    <w:basedOn w:val="1010"/>
    <w:link w:val="1017"/>
    <w:uiPriority w:val="99"/>
  </w:style>
  <w:style w:type="paragraph" w:styleId="863">
    <w:name w:val="Caption"/>
    <w:basedOn w:val="1006"/>
    <w:next w:val="1006"/>
    <w:uiPriority w:val="35"/>
    <w:semiHidden/>
    <w:unhideWhenUsed/>
    <w:qFormat/>
    <w:pPr>
      <w:spacing w:line="276" w:lineRule="auto"/>
    </w:pPr>
    <w:rPr>
      <w:b/>
      <w:bCs/>
      <w:color w:val="4f81bd" w:themeColor="accent1"/>
      <w:sz w:val="18"/>
      <w:szCs w:val="18"/>
    </w:rPr>
  </w:style>
  <w:style w:type="character" w:styleId="864">
    <w:name w:val="Caption Char"/>
    <w:basedOn w:val="863"/>
    <w:link w:val="1017"/>
    <w:uiPriority w:val="99"/>
  </w:style>
  <w:style w:type="table" w:styleId="865">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0">
    <w:name w:val="footnote text"/>
    <w:basedOn w:val="1006"/>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basedOn w:val="1010"/>
    <w:uiPriority w:val="99"/>
    <w:unhideWhenUsed/>
    <w:rPr>
      <w:vertAlign w:val="superscript"/>
    </w:rPr>
  </w:style>
  <w:style w:type="paragraph" w:styleId="993">
    <w:name w:val="endnote text"/>
    <w:basedOn w:val="1006"/>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basedOn w:val="1010"/>
    <w:uiPriority w:val="99"/>
    <w:semiHidden/>
    <w:unhideWhenUsed/>
    <w:rPr>
      <w:vertAlign w:val="superscript"/>
    </w:rPr>
  </w:style>
  <w:style w:type="paragraph" w:styleId="996">
    <w:name w:val="toc 2"/>
    <w:basedOn w:val="1006"/>
    <w:next w:val="1006"/>
    <w:uiPriority w:val="39"/>
    <w:unhideWhenUsed/>
    <w:pPr>
      <w:ind w:left="283" w:right="0" w:firstLine="0"/>
      <w:spacing w:after="57"/>
    </w:pPr>
  </w:style>
  <w:style w:type="paragraph" w:styleId="997">
    <w:name w:val="toc 3"/>
    <w:basedOn w:val="1006"/>
    <w:next w:val="1006"/>
    <w:uiPriority w:val="39"/>
    <w:unhideWhenUsed/>
    <w:pPr>
      <w:ind w:left="567" w:right="0" w:firstLine="0"/>
      <w:spacing w:after="57"/>
    </w:pPr>
  </w:style>
  <w:style w:type="paragraph" w:styleId="998">
    <w:name w:val="toc 4"/>
    <w:basedOn w:val="1006"/>
    <w:next w:val="1006"/>
    <w:uiPriority w:val="39"/>
    <w:unhideWhenUsed/>
    <w:pPr>
      <w:ind w:left="850" w:right="0" w:firstLine="0"/>
      <w:spacing w:after="57"/>
    </w:pPr>
  </w:style>
  <w:style w:type="paragraph" w:styleId="999">
    <w:name w:val="toc 5"/>
    <w:basedOn w:val="1006"/>
    <w:next w:val="1006"/>
    <w:uiPriority w:val="39"/>
    <w:unhideWhenUsed/>
    <w:pPr>
      <w:ind w:left="1134" w:right="0" w:firstLine="0"/>
      <w:spacing w:after="57"/>
    </w:pPr>
  </w:style>
  <w:style w:type="paragraph" w:styleId="1000">
    <w:name w:val="toc 6"/>
    <w:basedOn w:val="1006"/>
    <w:next w:val="1006"/>
    <w:uiPriority w:val="39"/>
    <w:unhideWhenUsed/>
    <w:pPr>
      <w:ind w:left="1417"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007">
    <w:name w:val="Heading 1"/>
    <w:basedOn w:val="1006"/>
    <w:next w:val="1006"/>
    <w:link w:val="1027"/>
    <w:uiPriority w:val="9"/>
    <w:qFormat/>
    <w:pPr>
      <w:keepLines/>
      <w:keepNext/>
      <w:spacing w:before="340" w:after="330" w:line="578" w:lineRule="auto"/>
      <w:outlineLvl w:val="0"/>
    </w:pPr>
    <w:rPr>
      <w:b/>
      <w:bCs/>
      <w:sz w:val="44"/>
      <w:szCs w:val="44"/>
    </w:rPr>
  </w:style>
  <w:style w:type="paragraph" w:styleId="1008">
    <w:name w:val="Heading 2"/>
    <w:basedOn w:val="1006"/>
    <w:next w:val="1006"/>
    <w:link w:val="102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09">
    <w:name w:val="Heading 3"/>
    <w:basedOn w:val="1006"/>
    <w:next w:val="1006"/>
    <w:link w:val="1030"/>
    <w:uiPriority w:val="9"/>
    <w:unhideWhenUsed/>
    <w:qFormat/>
    <w:pPr>
      <w:keepLines/>
      <w:keepNext/>
      <w:spacing w:before="260" w:after="260" w:line="416" w:lineRule="auto"/>
      <w:outlineLvl w:val="2"/>
    </w:pPr>
    <w:rPr>
      <w:b/>
      <w:bCs/>
      <w:sz w:val="32"/>
      <w:szCs w:val="32"/>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Body Text Indent"/>
    <w:basedOn w:val="1006"/>
    <w:next w:val="1006"/>
    <w:uiPriority w:val="0"/>
    <w:qFormat/>
    <w:pPr>
      <w:ind w:firstLine="420"/>
      <w:spacing w:line="360" w:lineRule="auto"/>
    </w:pPr>
    <w:rPr>
      <w:rFonts w:ascii="宋体"/>
      <w:sz w:val="24"/>
      <w:szCs w:val="20"/>
    </w:rPr>
  </w:style>
  <w:style w:type="paragraph" w:styleId="1013">
    <w:name w:val="Document Map"/>
    <w:basedOn w:val="1006"/>
    <w:link w:val="1028"/>
    <w:uiPriority w:val="99"/>
    <w:semiHidden/>
    <w:unhideWhenUsed/>
    <w:qFormat/>
    <w:rPr>
      <w:rFonts w:ascii="宋体" w:eastAsia="宋体"/>
      <w:sz w:val="18"/>
      <w:szCs w:val="18"/>
    </w:rPr>
  </w:style>
  <w:style w:type="paragraph" w:styleId="1014">
    <w:name w:val="annotation text"/>
    <w:basedOn w:val="1006"/>
    <w:link w:val="1032"/>
    <w:uiPriority w:val="0"/>
    <w:qFormat/>
    <w:pPr>
      <w:ind w:firstLine="922"/>
      <w:jc w:val="left"/>
      <w:spacing w:line="360" w:lineRule="auto"/>
    </w:pPr>
    <w:rPr>
      <w:rFonts w:ascii="Times New Roman" w:hAnsi="Times New Roman" w:eastAsia="宋体" w:cs="Times New Roman"/>
      <w:szCs w:val="24"/>
    </w:rPr>
  </w:style>
  <w:style w:type="paragraph" w:styleId="1015">
    <w:name w:val="Date"/>
    <w:basedOn w:val="1006"/>
    <w:next w:val="1006"/>
    <w:link w:val="1031"/>
    <w:uiPriority w:val="99"/>
    <w:semiHidden/>
    <w:unhideWhenUsed/>
    <w:qFormat/>
    <w:pPr>
      <w:ind w:left="100"/>
    </w:pPr>
  </w:style>
  <w:style w:type="paragraph" w:styleId="1016">
    <w:name w:val="Balloon Text"/>
    <w:basedOn w:val="1006"/>
    <w:link w:val="1033"/>
    <w:uiPriority w:val="99"/>
    <w:semiHidden/>
    <w:unhideWhenUsed/>
    <w:qFormat/>
    <w:rPr>
      <w:sz w:val="18"/>
      <w:szCs w:val="18"/>
    </w:rPr>
  </w:style>
  <w:style w:type="paragraph" w:styleId="1017">
    <w:name w:val="Footer"/>
    <w:basedOn w:val="1006"/>
    <w:link w:val="1026"/>
    <w:uiPriority w:val="99"/>
    <w:unhideWhenUsed/>
    <w:qFormat/>
    <w:pPr>
      <w:jc w:val="left"/>
      <w:tabs>
        <w:tab w:val="center" w:pos="4153" w:leader="none"/>
        <w:tab w:val="right" w:pos="8306" w:leader="none"/>
      </w:tabs>
    </w:pPr>
    <w:rPr>
      <w:sz w:val="18"/>
      <w:szCs w:val="18"/>
    </w:rPr>
  </w:style>
  <w:style w:type="paragraph" w:styleId="1018">
    <w:name w:val="Header"/>
    <w:basedOn w:val="1006"/>
    <w:link w:val="102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1019">
    <w:name w:val="toc 1"/>
    <w:basedOn w:val="1006"/>
    <w:next w:val="1006"/>
    <w:uiPriority w:val="39"/>
    <w:unhideWhenUsed/>
    <w:qFormat/>
    <w:pPr>
      <w:jc w:val="center"/>
      <w:spacing w:line="480" w:lineRule="auto"/>
      <w:tabs>
        <w:tab w:val="right" w:pos="9628" w:leader="dot"/>
      </w:tabs>
    </w:pPr>
    <w:rPr>
      <w:b/>
      <w:sz w:val="44"/>
      <w:szCs w:val="44"/>
    </w:rPr>
  </w:style>
  <w:style w:type="paragraph" w:styleId="1020">
    <w:name w:val="Normal (Web)"/>
    <w:basedOn w:val="1006"/>
    <w:uiPriority w:val="99"/>
    <w:unhideWhenUsed/>
    <w:qFormat/>
    <w:pPr>
      <w:ind w:left="0" w:right="0"/>
      <w:jc w:val="left"/>
      <w:spacing w:before="100" w:beforeAutospacing="1" w:after="100" w:afterAutospacing="1"/>
    </w:pPr>
    <w:rPr>
      <w:sz w:val="24"/>
      <w:lang w:val="en-US" w:eastAsia="zh-CN" w:bidi="ar"/>
    </w:rPr>
  </w:style>
  <w:style w:type="table" w:styleId="1021">
    <w:name w:val="Table Grid"/>
    <w:basedOn w:val="10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mphasis"/>
    <w:uiPriority w:val="0"/>
    <w:qFormat/>
    <w:rPr>
      <w:i/>
    </w:rPr>
  </w:style>
  <w:style w:type="character" w:styleId="1023">
    <w:name w:val="Hyperlink"/>
    <w:uiPriority w:val="99"/>
    <w:qFormat/>
    <w:rPr>
      <w:color w:val="0000ff"/>
      <w:u w:val="none"/>
    </w:rPr>
  </w:style>
  <w:style w:type="character" w:styleId="1024">
    <w:name w:val="annotation reference"/>
    <w:uiPriority w:val="0"/>
    <w:qFormat/>
    <w:rPr>
      <w:sz w:val="21"/>
      <w:szCs w:val="21"/>
    </w:rPr>
  </w:style>
  <w:style w:type="character" w:styleId="1025" w:customStyle="1">
    <w:name w:val="页眉 Char"/>
    <w:basedOn w:val="1010"/>
    <w:link w:val="1018"/>
    <w:uiPriority w:val="99"/>
    <w:semiHidden/>
    <w:qFormat/>
    <w:rPr>
      <w:sz w:val="18"/>
      <w:szCs w:val="18"/>
    </w:rPr>
  </w:style>
  <w:style w:type="character" w:styleId="1026" w:customStyle="1">
    <w:name w:val="页脚 Char"/>
    <w:basedOn w:val="1010"/>
    <w:link w:val="1017"/>
    <w:uiPriority w:val="99"/>
    <w:qFormat/>
    <w:rPr>
      <w:sz w:val="18"/>
      <w:szCs w:val="18"/>
    </w:rPr>
  </w:style>
  <w:style w:type="character" w:styleId="1027" w:customStyle="1">
    <w:name w:val="标题 1 Char"/>
    <w:basedOn w:val="1010"/>
    <w:link w:val="1007"/>
    <w:uiPriority w:val="9"/>
    <w:qFormat/>
    <w:rPr>
      <w:b/>
      <w:bCs/>
      <w:sz w:val="44"/>
      <w:szCs w:val="44"/>
    </w:rPr>
  </w:style>
  <w:style w:type="character" w:styleId="1028" w:customStyle="1">
    <w:name w:val="文档结构图 Char"/>
    <w:basedOn w:val="1010"/>
    <w:link w:val="1013"/>
    <w:uiPriority w:val="99"/>
    <w:semiHidden/>
    <w:qFormat/>
    <w:rPr>
      <w:rFonts w:ascii="宋体" w:eastAsia="宋体"/>
      <w:sz w:val="18"/>
      <w:szCs w:val="18"/>
    </w:rPr>
  </w:style>
  <w:style w:type="character" w:styleId="1029" w:customStyle="1">
    <w:name w:val="标题 2 Char"/>
    <w:basedOn w:val="1010"/>
    <w:link w:val="1008"/>
    <w:uiPriority w:val="9"/>
    <w:qFormat/>
    <w:rPr>
      <w:rFonts w:asciiTheme="majorHAnsi" w:hAnsiTheme="majorHAnsi" w:eastAsiaTheme="majorEastAsia" w:cstheme="majorBidi"/>
      <w:b/>
      <w:bCs/>
      <w:sz w:val="32"/>
      <w:szCs w:val="32"/>
    </w:rPr>
  </w:style>
  <w:style w:type="character" w:styleId="1030" w:customStyle="1">
    <w:name w:val="标题 3 Char"/>
    <w:basedOn w:val="1010"/>
    <w:link w:val="1009"/>
    <w:uiPriority w:val="9"/>
    <w:qFormat/>
    <w:rPr>
      <w:b/>
      <w:bCs/>
      <w:sz w:val="32"/>
      <w:szCs w:val="32"/>
    </w:rPr>
  </w:style>
  <w:style w:type="character" w:styleId="1031" w:customStyle="1">
    <w:name w:val="日期 Char"/>
    <w:basedOn w:val="1010"/>
    <w:link w:val="1015"/>
    <w:uiPriority w:val="99"/>
    <w:semiHidden/>
    <w:qFormat/>
  </w:style>
  <w:style w:type="character" w:styleId="1032" w:customStyle="1">
    <w:name w:val="批注文字 Char"/>
    <w:basedOn w:val="1010"/>
    <w:link w:val="1014"/>
    <w:uiPriority w:val="0"/>
    <w:qFormat/>
    <w:rPr>
      <w:rFonts w:ascii="Times New Roman" w:hAnsi="Times New Roman" w:eastAsia="宋体" w:cs="Times New Roman"/>
      <w:szCs w:val="24"/>
    </w:rPr>
  </w:style>
  <w:style w:type="character" w:styleId="1033" w:customStyle="1">
    <w:name w:val="批注框文本 Char"/>
    <w:basedOn w:val="1010"/>
    <w:link w:val="1016"/>
    <w:uiPriority w:val="99"/>
    <w:semiHidden/>
    <w:qFormat/>
    <w:rPr>
      <w:sz w:val="18"/>
      <w:szCs w:val="18"/>
    </w:rPr>
  </w:style>
  <w:style w:type="paragraph" w:styleId="1034" w:customStyle="1">
    <w:name w:val="正文首行缩进11"/>
    <w:basedOn w:val="1035"/>
    <w:uiPriority w:val="0"/>
    <w:qFormat/>
    <w:pPr>
      <w:ind w:firstLine="200"/>
      <w:spacing w:line="360" w:lineRule="auto"/>
    </w:pPr>
    <w:rPr>
      <w:rFonts w:ascii="仿宋_GB2312" w:hAnsi="Times New Roman" w:eastAsia="仿宋_GB2312"/>
      <w:sz w:val="30"/>
      <w:szCs w:val="30"/>
    </w:rPr>
  </w:style>
  <w:style w:type="paragraph" w:styleId="1035" w:customStyle="1">
    <w:name w:val="正文文本11"/>
    <w:basedOn w:val="1006"/>
    <w:next w:val="1006"/>
    <w:uiPriority w:val="0"/>
    <w:qFormat/>
    <w:rPr>
      <w:rFonts w:ascii="楷体_GB2312" w:hAnsi="Arial" w:eastAsia="楷体_GB2312"/>
      <w:sz w:val="28"/>
      <w:szCs w:val="28"/>
      <w:lang w:eastAsia="en-US"/>
    </w:rPr>
  </w:style>
  <w:style w:type="paragraph" w:styleId="1036"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1037" w:customStyle="1">
    <w:name w:val="标题 11"/>
    <w:basedOn w:val="1038"/>
    <w:next w:val="1038"/>
    <w:uiPriority w:val="9"/>
    <w:qFormat/>
    <w:pPr>
      <w:keepLines/>
      <w:keepNext/>
      <w:spacing w:before="340" w:after="330" w:line="578" w:lineRule="auto"/>
      <w:outlineLvl w:val="0"/>
    </w:pPr>
    <w:rPr>
      <w:b/>
      <w:bCs/>
      <w:sz w:val="44"/>
      <w:szCs w:val="44"/>
    </w:rPr>
  </w:style>
  <w:style w:type="paragraph" w:styleId="1038"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1039" w:customStyle="1">
    <w:name w:val="批注文字1"/>
    <w:basedOn w:val="1006"/>
    <w:uiPriority w:val="0"/>
    <w:qFormat/>
    <w:pPr>
      <w:ind w:firstLine="922"/>
      <w:jc w:val="left"/>
      <w:spacing w:line="360" w:lineRule="auto"/>
    </w:pPr>
    <w:rPr>
      <w:rFonts w:ascii="Times New Roman" w:hAnsi="Times New Roman" w:eastAsia="宋体" w:cs="Times New Roman"/>
      <w:szCs w:val="24"/>
    </w:rPr>
  </w:style>
  <w:style w:type="paragraph" w:styleId="1040" w:customStyle="1">
    <w:name w:val="正文首行缩进 21"/>
    <w:basedOn w:val="1041"/>
    <w:next w:val="1006"/>
    <w:uiPriority w:val="0"/>
    <w:qFormat/>
    <w:pPr>
      <w:ind w:left="0" w:firstLine="420"/>
      <w:spacing w:after="0" w:line="360" w:lineRule="auto"/>
    </w:pPr>
    <w:rPr>
      <w:rFonts w:ascii="宋体" w:hAnsi="宋体" w:eastAsia="宋体" w:cs="Times New Roman"/>
      <w:szCs w:val="20"/>
    </w:rPr>
  </w:style>
  <w:style w:type="paragraph" w:styleId="1041" w:customStyle="1">
    <w:name w:val="正文文本缩进1"/>
    <w:basedOn w:val="1006"/>
    <w:uiPriority w:val="0"/>
    <w:unhideWhenUsed/>
    <w:qFormat/>
    <w:pPr>
      <w:ind w:left="420"/>
      <w:spacing w:after="120"/>
    </w:p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104</cp:revision>
  <dcterms:created xsi:type="dcterms:W3CDTF">2024-01-04T03:50:00Z</dcterms:created>
  <dcterms:modified xsi:type="dcterms:W3CDTF">2026-04-16T07:08:51Z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2052-12.1.0.25225</vt:lpwstr>
  </property>
  <property fmtid="{D5CDD505-2E9C-101B-9397-08002B2CF9AE}" pid="4" name="ICV">
    <vt:lpwstr>583BEC7193724256A0014C1DA800368D_13</vt:lpwstr>
  </property>
</Properties>
</file>